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1E9F6" w14:textId="108A4B27" w:rsidR="07BE4B18" w:rsidRDefault="07BE4B18" w:rsidP="75E3E978">
      <w:pPr>
        <w:spacing w:line="48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75E3E978">
        <w:rPr>
          <w:rFonts w:ascii="Times New Roman" w:hAnsi="Times New Roman" w:cs="Times New Roman"/>
          <w:b/>
          <w:bCs/>
          <w:sz w:val="28"/>
          <w:szCs w:val="28"/>
          <w:lang w:val="en-US"/>
        </w:rPr>
        <w:t>Supplementary material</w:t>
      </w:r>
    </w:p>
    <w:p w14:paraId="10315204" w14:textId="1A8FD7DB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Synthesis strategies for BaCe0.7Zr0.1Y0.1Yb0.1O3-δ for the development of high-conducting Solid Oxide Cell electrolyte</w:t>
      </w:r>
    </w:p>
    <w:p w14:paraId="4670ACAF" w14:textId="22D7DB74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F. Bagioni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1,2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E. Mercadelli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A. Bartoletti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P. Pinasco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M. Ardit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3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N. Precisvalle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4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S. Massardo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5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S. Presto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5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M. Viviani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5*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A. Gondolini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1*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, A. Sanson</w:t>
      </w: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</w:t>
      </w:r>
    </w:p>
    <w:p w14:paraId="5F65FDE7" w14:textId="7BA7947A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452AB62A" w14:textId="619816F8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 xml:space="preserve">1 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National Research Council of Italy, Institute of Science, Technology and Sustainability for Ceramics (ISSMC) of the National Research Council (CNR), Via Granarolo 64, 48018 Faenza (RA), Italy</w:t>
      </w:r>
    </w:p>
    <w:p w14:paraId="05B4E2FA" w14:textId="37F4B8C7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 xml:space="preserve">2 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Department of Chemistry, Life Sciences and Environmental Sustainability, University of Parma, via Università, 12 - I 43121 Parma, Italy</w:t>
      </w:r>
    </w:p>
    <w:p w14:paraId="0835E9C6" w14:textId="29C42330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 xml:space="preserve">3 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Department of Geosciences, University of Padova, Via </w:t>
      </w:r>
      <w:proofErr w:type="spellStart"/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Gradenigo</w:t>
      </w:r>
      <w:proofErr w:type="spellEnd"/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6, IT-35131 Padova, Italy</w:t>
      </w:r>
    </w:p>
    <w:p w14:paraId="19F8CC1D" w14:textId="4F4D9B33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4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Department of Physics and Earth Sciences, University of Ferrara, v. </w:t>
      </w:r>
      <w:proofErr w:type="spellStart"/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Saragat</w:t>
      </w:r>
      <w:proofErr w:type="spellEnd"/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1, I-44122, Ferrara, Italy</w:t>
      </w:r>
    </w:p>
    <w:p w14:paraId="6D35ABD6" w14:textId="7C247B4E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5</w:t>
      </w: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National Research Council of Italy, Institute of Condensed Matter Chemistry and Energy Technologies (ICMATE) of the National Research Council (CNR), c/o DICCA-UNIGE, Via </w:t>
      </w:r>
      <w:proofErr w:type="spellStart"/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>all’Opera</w:t>
      </w:r>
      <w:proofErr w:type="spellEnd"/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Pia 15, 16145 Genova, Italy</w:t>
      </w:r>
    </w:p>
    <w:p w14:paraId="5D87E5AF" w14:textId="4C0D7B0A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71DEEA75" w14:textId="7E62BBA3" w:rsidR="07BE4B18" w:rsidRDefault="07BE4B18" w:rsidP="75E3E978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*Corresponding authors: email address: </w:t>
      </w:r>
      <w:hyperlink r:id="rId5">
        <w:r w:rsidRPr="75E3E978">
          <w:rPr>
            <w:rStyle w:val="Collegamentoipertestuale"/>
            <w:rFonts w:ascii="Times New Roman" w:eastAsia="Calibri" w:hAnsi="Times New Roman" w:cs="Times New Roman"/>
            <w:sz w:val="24"/>
            <w:szCs w:val="24"/>
            <w:lang w:val="en-US"/>
          </w:rPr>
          <w:t>angela.gondolini@cnr.it</w:t>
        </w:r>
      </w:hyperlink>
      <w:r w:rsidRPr="75E3E97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hyperlink r:id="rId6">
        <w:r w:rsidRPr="75E3E978">
          <w:rPr>
            <w:rStyle w:val="Collegamentoipertestuale"/>
            <w:rFonts w:ascii="Times New Roman" w:eastAsia="Calibri" w:hAnsi="Times New Roman" w:cs="Times New Roman"/>
            <w:sz w:val="24"/>
            <w:szCs w:val="24"/>
            <w:lang w:val="en-US"/>
          </w:rPr>
          <w:t>massimo.viviani@cnr.it</w:t>
        </w:r>
      </w:hyperlink>
    </w:p>
    <w:p w14:paraId="6063358A" w14:textId="492B8458" w:rsidR="00F66158" w:rsidRDefault="00F66158">
      <w:p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25810800" w14:textId="77777777" w:rsidR="75E3E978" w:rsidRDefault="75E3E978" w:rsidP="75E3E978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1865B6C" w14:textId="77777777" w:rsidR="00EF0D44" w:rsidRPr="00432866" w:rsidRDefault="00EF0D44" w:rsidP="00B5476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32866">
        <w:rPr>
          <w:rFonts w:ascii="Times New Roman" w:hAnsi="Times New Roman" w:cs="Times New Roman"/>
          <w:b/>
          <w:sz w:val="24"/>
          <w:szCs w:val="24"/>
          <w:lang w:val="en-US"/>
        </w:rPr>
        <w:t>Details on the Rietveld refinements</w:t>
      </w:r>
    </w:p>
    <w:p w14:paraId="4FCD26AC" w14:textId="77777777" w:rsidR="00EF0D44" w:rsidRPr="00A6018E" w:rsidRDefault="00892F4A" w:rsidP="00957A5B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The quantification of the identified phases within each sample was conducted through a f</w:t>
      </w:r>
      <w:r w:rsidR="00EF0D44" w:rsidRPr="00A6018E">
        <w:rPr>
          <w:rFonts w:ascii="Times New Roman" w:hAnsi="Times New Roman" w:cs="Times New Roman"/>
          <w:lang w:val="en-US"/>
        </w:rPr>
        <w:t>ull-profile fitting analyses using the fundamental-parameter (FP) Rietveld approach (TOPAS Bruker AXS, v7.0</w:t>
      </w:r>
      <w:r w:rsidR="00A7237E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957A5B" w:rsidRPr="00957A5B">
        <w:rPr>
          <w:rFonts w:ascii="Times New Roman" w:hAnsi="Times New Roman" w:cs="Times New Roman"/>
          <w:lang w:val="en-US"/>
        </w:rPr>
        <w:t>Cheary</w:t>
      </w:r>
      <w:proofErr w:type="spellEnd"/>
      <w:r w:rsidR="00957A5B" w:rsidRPr="00957A5B">
        <w:rPr>
          <w:rFonts w:ascii="Times New Roman" w:hAnsi="Times New Roman" w:cs="Times New Roman"/>
          <w:lang w:val="en-US"/>
        </w:rPr>
        <w:t xml:space="preserve"> and</w:t>
      </w:r>
      <w:r w:rsidR="00957A5B">
        <w:rPr>
          <w:rFonts w:ascii="Times New Roman" w:hAnsi="Times New Roman" w:cs="Times New Roman"/>
          <w:lang w:val="en-US"/>
        </w:rPr>
        <w:t xml:space="preserve"> </w:t>
      </w:r>
      <w:r w:rsidR="00957A5B" w:rsidRPr="00957A5B">
        <w:rPr>
          <w:rFonts w:ascii="Times New Roman" w:hAnsi="Times New Roman" w:cs="Times New Roman"/>
          <w:lang w:val="en-US"/>
        </w:rPr>
        <w:t xml:space="preserve">Coelho 1992; </w:t>
      </w:r>
      <w:proofErr w:type="spellStart"/>
      <w:r w:rsidR="00957A5B" w:rsidRPr="00957A5B">
        <w:rPr>
          <w:rFonts w:ascii="Times New Roman" w:hAnsi="Times New Roman" w:cs="Times New Roman"/>
          <w:lang w:val="en-US"/>
        </w:rPr>
        <w:t>Cheary</w:t>
      </w:r>
      <w:proofErr w:type="spellEnd"/>
      <w:r w:rsidR="00957A5B" w:rsidRPr="00957A5B">
        <w:rPr>
          <w:rFonts w:ascii="Times New Roman" w:hAnsi="Times New Roman" w:cs="Times New Roman"/>
          <w:lang w:val="en-US"/>
        </w:rPr>
        <w:t xml:space="preserve"> et al. 2004; Rietveld 1967, 1969</w:t>
      </w:r>
      <w:r w:rsidR="00EF0D44" w:rsidRPr="00A6018E">
        <w:rPr>
          <w:rFonts w:ascii="Times New Roman" w:hAnsi="Times New Roman" w:cs="Times New Roman"/>
          <w:lang w:val="en-US"/>
        </w:rPr>
        <w:t>)</w:t>
      </w:r>
      <w:r w:rsidR="00A6018E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>The s</w:t>
      </w:r>
      <w:r w:rsidR="00A6018E" w:rsidRPr="00A6018E">
        <w:rPr>
          <w:rFonts w:ascii="Times New Roman" w:hAnsi="Times New Roman" w:cs="Times New Roman"/>
          <w:lang w:val="en-US"/>
        </w:rPr>
        <w:t xml:space="preserve">tarting atomic models were </w:t>
      </w:r>
      <w:r>
        <w:rPr>
          <w:rFonts w:ascii="Times New Roman" w:hAnsi="Times New Roman" w:cs="Times New Roman"/>
          <w:lang w:val="en-US"/>
        </w:rPr>
        <w:t xml:space="preserve">derived </w:t>
      </w:r>
      <w:r w:rsidR="00A6018E" w:rsidRPr="00A6018E">
        <w:rPr>
          <w:rFonts w:ascii="Times New Roman" w:hAnsi="Times New Roman" w:cs="Times New Roman"/>
          <w:lang w:val="en-US"/>
        </w:rPr>
        <w:t xml:space="preserve">from </w:t>
      </w:r>
      <w:proofErr w:type="spellStart"/>
      <w:r w:rsidR="00A6018E" w:rsidRPr="00A6018E">
        <w:rPr>
          <w:rFonts w:ascii="Times New Roman" w:hAnsi="Times New Roman" w:cs="Times New Roman"/>
          <w:lang w:val="en-US"/>
        </w:rPr>
        <w:t>Pagnier</w:t>
      </w:r>
      <w:proofErr w:type="spellEnd"/>
      <w:r w:rsidR="00A6018E" w:rsidRPr="00A6018E">
        <w:rPr>
          <w:rFonts w:ascii="Times New Roman" w:hAnsi="Times New Roman" w:cs="Times New Roman"/>
          <w:lang w:val="en-US"/>
        </w:rPr>
        <w:t xml:space="preserve"> et al. </w:t>
      </w:r>
      <w:r w:rsidR="00A6018E">
        <w:rPr>
          <w:rFonts w:ascii="Times New Roman" w:hAnsi="Times New Roman" w:cs="Times New Roman"/>
          <w:lang w:val="en-US"/>
        </w:rPr>
        <w:t>(</w:t>
      </w:r>
      <w:r w:rsidR="00A6018E" w:rsidRPr="00A6018E">
        <w:rPr>
          <w:rFonts w:ascii="Times New Roman" w:hAnsi="Times New Roman" w:cs="Times New Roman"/>
          <w:lang w:val="en-US"/>
        </w:rPr>
        <w:t>2000</w:t>
      </w:r>
      <w:r w:rsidR="00A6018E">
        <w:rPr>
          <w:rFonts w:ascii="Times New Roman" w:hAnsi="Times New Roman" w:cs="Times New Roman"/>
          <w:lang w:val="en-US"/>
        </w:rPr>
        <w:t>)</w:t>
      </w:r>
      <w:r w:rsidR="00A6018E" w:rsidRPr="00A6018E">
        <w:rPr>
          <w:rFonts w:ascii="Times New Roman" w:hAnsi="Times New Roman" w:cs="Times New Roman"/>
          <w:lang w:val="en-US"/>
        </w:rPr>
        <w:t xml:space="preserve"> for the </w:t>
      </w:r>
      <w:r w:rsidR="00A6018E">
        <w:rPr>
          <w:rFonts w:ascii="Times New Roman" w:hAnsi="Times New Roman" w:cs="Times New Roman"/>
          <w:lang w:val="en-US"/>
        </w:rPr>
        <w:t>cubic and orthorhombic perovskite</w:t>
      </w:r>
      <w:r w:rsidR="00A6018E" w:rsidRPr="00A6018E">
        <w:rPr>
          <w:rFonts w:ascii="Times New Roman" w:hAnsi="Times New Roman" w:cs="Times New Roman"/>
          <w:lang w:val="en-US"/>
        </w:rPr>
        <w:t xml:space="preserve"> phase</w:t>
      </w:r>
      <w:r w:rsidR="00A6018E">
        <w:rPr>
          <w:rFonts w:ascii="Times New Roman" w:hAnsi="Times New Roman" w:cs="Times New Roman"/>
          <w:lang w:val="en-US"/>
        </w:rPr>
        <w:t>s</w:t>
      </w:r>
      <w:r w:rsidR="00A6018E" w:rsidRPr="00A6018E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="00A6018E" w:rsidRPr="00A6018E">
        <w:rPr>
          <w:rFonts w:ascii="Times New Roman" w:hAnsi="Times New Roman" w:cs="Times New Roman"/>
          <w:lang w:val="en-US"/>
        </w:rPr>
        <w:t>s</w:t>
      </w:r>
      <w:r w:rsidR="00A6018E">
        <w:rPr>
          <w:rFonts w:ascii="Times New Roman" w:hAnsi="Times New Roman" w:cs="Times New Roman"/>
          <w:lang w:val="en-US"/>
        </w:rPr>
        <w:t>.g</w:t>
      </w:r>
      <w:proofErr w:type="spellEnd"/>
      <w:r w:rsidR="00A6018E">
        <w:rPr>
          <w:rFonts w:ascii="Times New Roman" w:hAnsi="Times New Roman" w:cs="Times New Roman"/>
          <w:lang w:val="en-US"/>
        </w:rPr>
        <w:t>.</w:t>
      </w:r>
      <w:r w:rsidR="00A6018E" w:rsidRPr="00A6018E">
        <w:rPr>
          <w:rFonts w:ascii="Times New Roman" w:hAnsi="Times New Roman" w:cs="Times New Roman"/>
          <w:lang w:val="en-US"/>
        </w:rPr>
        <w:t xml:space="preserve"> </w:t>
      </w:r>
      <w:r w:rsidR="00A6018E" w:rsidRPr="00A6018E">
        <w:rPr>
          <w:rFonts w:ascii="Times New Roman" w:hAnsi="Times New Roman" w:cs="Times New Roman"/>
          <w:i/>
          <w:lang w:val="en-US"/>
        </w:rPr>
        <w:t>Pm</w:t>
      </w:r>
      <w:r w:rsidR="00A6018E">
        <w:rPr>
          <w:rFonts w:ascii="Times New Roman" w:hAnsi="Times New Roman" w:cs="Times New Roman"/>
          <w:lang w:val="en-US"/>
        </w:rPr>
        <w:t>-3</w:t>
      </w:r>
      <w:r w:rsidR="00A6018E" w:rsidRPr="00A6018E">
        <w:rPr>
          <w:rFonts w:ascii="Times New Roman" w:hAnsi="Times New Roman" w:cs="Times New Roman"/>
          <w:i/>
          <w:lang w:val="en-US"/>
        </w:rPr>
        <w:t>m</w:t>
      </w:r>
      <w:r w:rsidR="00A6018E">
        <w:rPr>
          <w:rFonts w:ascii="Times New Roman" w:hAnsi="Times New Roman" w:cs="Times New Roman"/>
          <w:lang w:val="en-US"/>
        </w:rPr>
        <w:t xml:space="preserve"> and </w:t>
      </w:r>
      <w:r w:rsidR="00A6018E" w:rsidRPr="00A6018E">
        <w:rPr>
          <w:rFonts w:ascii="Times New Roman" w:hAnsi="Times New Roman" w:cs="Times New Roman"/>
          <w:i/>
          <w:lang w:val="en-US"/>
        </w:rPr>
        <w:t>Imma</w:t>
      </w:r>
      <w:r w:rsidR="00A6018E">
        <w:rPr>
          <w:rFonts w:ascii="Times New Roman" w:hAnsi="Times New Roman" w:cs="Times New Roman"/>
          <w:lang w:val="en-US"/>
        </w:rPr>
        <w:t>, respectively)</w:t>
      </w:r>
      <w:r w:rsidR="00A6018E" w:rsidRPr="00A6018E">
        <w:rPr>
          <w:rFonts w:ascii="Times New Roman" w:hAnsi="Times New Roman" w:cs="Times New Roman"/>
          <w:lang w:val="en-US"/>
        </w:rPr>
        <w:t xml:space="preserve">, </w:t>
      </w:r>
      <w:r w:rsidR="00A6018E">
        <w:rPr>
          <w:rFonts w:ascii="Times New Roman" w:hAnsi="Times New Roman" w:cs="Times New Roman"/>
          <w:lang w:val="en-US"/>
        </w:rPr>
        <w:t xml:space="preserve">from </w:t>
      </w:r>
      <w:r w:rsidR="00A6018E" w:rsidRPr="00A6018E">
        <w:rPr>
          <w:rFonts w:ascii="Times New Roman" w:hAnsi="Times New Roman" w:cs="Times New Roman"/>
          <w:lang w:val="en-US"/>
        </w:rPr>
        <w:t xml:space="preserve">Knight and </w:t>
      </w:r>
      <w:proofErr w:type="spellStart"/>
      <w:r w:rsidR="00A6018E" w:rsidRPr="00A6018E">
        <w:rPr>
          <w:rFonts w:ascii="Times New Roman" w:hAnsi="Times New Roman" w:cs="Times New Roman"/>
          <w:lang w:val="en-US"/>
        </w:rPr>
        <w:t>Bonanos</w:t>
      </w:r>
      <w:proofErr w:type="spellEnd"/>
      <w:r w:rsidR="00A6018E" w:rsidRPr="00A6018E">
        <w:rPr>
          <w:rFonts w:ascii="Times New Roman" w:hAnsi="Times New Roman" w:cs="Times New Roman"/>
          <w:lang w:val="en-US"/>
        </w:rPr>
        <w:t xml:space="preserve"> </w:t>
      </w:r>
      <w:r w:rsidR="00A6018E">
        <w:rPr>
          <w:rFonts w:ascii="Times New Roman" w:hAnsi="Times New Roman" w:cs="Times New Roman"/>
          <w:lang w:val="en-US"/>
        </w:rPr>
        <w:t>(</w:t>
      </w:r>
      <w:r w:rsidR="00A6018E" w:rsidRPr="00A6018E">
        <w:rPr>
          <w:rFonts w:ascii="Times New Roman" w:hAnsi="Times New Roman" w:cs="Times New Roman"/>
          <w:lang w:val="en-US"/>
        </w:rPr>
        <w:t>1995</w:t>
      </w:r>
      <w:r w:rsidR="00A6018E">
        <w:rPr>
          <w:rFonts w:ascii="Times New Roman" w:hAnsi="Times New Roman" w:cs="Times New Roman"/>
          <w:lang w:val="en-US"/>
        </w:rPr>
        <w:t>) for the orthorhombic perovskite phase (</w:t>
      </w:r>
      <w:proofErr w:type="spellStart"/>
      <w:r w:rsidR="00A6018E" w:rsidRPr="00A6018E">
        <w:rPr>
          <w:rFonts w:ascii="Times New Roman" w:hAnsi="Times New Roman" w:cs="Times New Roman"/>
          <w:lang w:val="en-US"/>
        </w:rPr>
        <w:t>s</w:t>
      </w:r>
      <w:r w:rsidR="00A6018E">
        <w:rPr>
          <w:rFonts w:ascii="Times New Roman" w:hAnsi="Times New Roman" w:cs="Times New Roman"/>
          <w:lang w:val="en-US"/>
        </w:rPr>
        <w:t>.g</w:t>
      </w:r>
      <w:proofErr w:type="spellEnd"/>
      <w:r w:rsidR="00A6018E">
        <w:rPr>
          <w:rFonts w:ascii="Times New Roman" w:hAnsi="Times New Roman" w:cs="Times New Roman"/>
          <w:lang w:val="en-US"/>
        </w:rPr>
        <w:t>.</w:t>
      </w:r>
      <w:r w:rsidR="00A6018E" w:rsidRPr="00A6018E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A6018E" w:rsidRPr="00A6018E">
        <w:rPr>
          <w:rFonts w:ascii="Times New Roman" w:hAnsi="Times New Roman" w:cs="Times New Roman"/>
          <w:i/>
          <w:lang w:val="en-US"/>
        </w:rPr>
        <w:t>Pm</w:t>
      </w:r>
      <w:r w:rsidR="00A6018E">
        <w:rPr>
          <w:rFonts w:ascii="Times New Roman" w:hAnsi="Times New Roman" w:cs="Times New Roman"/>
          <w:i/>
          <w:lang w:val="en-US"/>
        </w:rPr>
        <w:t>cn</w:t>
      </w:r>
      <w:proofErr w:type="spellEnd"/>
      <w:r w:rsidR="00A6018E">
        <w:rPr>
          <w:rFonts w:ascii="Times New Roman" w:hAnsi="Times New Roman" w:cs="Times New Roman"/>
          <w:lang w:val="en-US"/>
        </w:rPr>
        <w:t xml:space="preserve">), </w:t>
      </w:r>
      <w:r w:rsidR="00A6018E" w:rsidRPr="00A6018E">
        <w:rPr>
          <w:rFonts w:ascii="Times New Roman" w:hAnsi="Times New Roman" w:cs="Times New Roman"/>
          <w:lang w:val="en-US"/>
        </w:rPr>
        <w:t>and from Takeuchi</w:t>
      </w:r>
      <w:r w:rsidR="00A6018E">
        <w:rPr>
          <w:rFonts w:ascii="Times New Roman" w:hAnsi="Times New Roman" w:cs="Times New Roman"/>
          <w:lang w:val="en-US"/>
        </w:rPr>
        <w:t xml:space="preserve"> et al.</w:t>
      </w:r>
      <w:r w:rsidR="00A6018E" w:rsidRPr="00A6018E">
        <w:rPr>
          <w:rFonts w:ascii="Times New Roman" w:hAnsi="Times New Roman" w:cs="Times New Roman"/>
          <w:lang w:val="en-US"/>
        </w:rPr>
        <w:t xml:space="preserve"> (</w:t>
      </w:r>
      <w:r w:rsidR="00A6018E">
        <w:rPr>
          <w:rFonts w:ascii="Times New Roman" w:hAnsi="Times New Roman" w:cs="Times New Roman"/>
          <w:lang w:val="en-US"/>
        </w:rPr>
        <w:t>2000</w:t>
      </w:r>
      <w:r w:rsidR="00A6018E" w:rsidRPr="00A6018E">
        <w:rPr>
          <w:rFonts w:ascii="Times New Roman" w:hAnsi="Times New Roman" w:cs="Times New Roman"/>
          <w:lang w:val="en-US"/>
        </w:rPr>
        <w:t xml:space="preserve">) for the </w:t>
      </w:r>
      <w:r w:rsidR="00A6018E">
        <w:rPr>
          <w:rFonts w:ascii="Times New Roman" w:hAnsi="Times New Roman" w:cs="Times New Roman"/>
          <w:lang w:val="en-US"/>
        </w:rPr>
        <w:t xml:space="preserve">monoclinic perovskite </w:t>
      </w:r>
      <w:r w:rsidR="00A6018E" w:rsidRPr="00A6018E">
        <w:rPr>
          <w:rFonts w:ascii="Times New Roman" w:hAnsi="Times New Roman" w:cs="Times New Roman"/>
          <w:lang w:val="en-US"/>
        </w:rPr>
        <w:t>phase (</w:t>
      </w:r>
      <w:proofErr w:type="spellStart"/>
      <w:r w:rsidR="00A6018E" w:rsidRPr="00A6018E">
        <w:rPr>
          <w:rFonts w:ascii="Times New Roman" w:hAnsi="Times New Roman" w:cs="Times New Roman"/>
          <w:lang w:val="en-US"/>
        </w:rPr>
        <w:t>s</w:t>
      </w:r>
      <w:r w:rsidR="00A6018E">
        <w:rPr>
          <w:rFonts w:ascii="Times New Roman" w:hAnsi="Times New Roman" w:cs="Times New Roman"/>
          <w:lang w:val="en-US"/>
        </w:rPr>
        <w:t>.g</w:t>
      </w:r>
      <w:proofErr w:type="spellEnd"/>
      <w:r w:rsidR="00A6018E">
        <w:rPr>
          <w:rFonts w:ascii="Times New Roman" w:hAnsi="Times New Roman" w:cs="Times New Roman"/>
          <w:lang w:val="en-US"/>
        </w:rPr>
        <w:t>.</w:t>
      </w:r>
      <w:r w:rsidR="00A6018E" w:rsidRPr="00A6018E">
        <w:rPr>
          <w:rFonts w:ascii="Times New Roman" w:hAnsi="Times New Roman" w:cs="Times New Roman"/>
          <w:lang w:val="en-US"/>
        </w:rPr>
        <w:t xml:space="preserve"> </w:t>
      </w:r>
      <w:r w:rsidR="00A6018E" w:rsidRPr="00A6018E">
        <w:rPr>
          <w:rFonts w:ascii="Times New Roman" w:hAnsi="Times New Roman" w:cs="Times New Roman"/>
          <w:i/>
          <w:lang w:val="en-US"/>
        </w:rPr>
        <w:t>I</w:t>
      </w:r>
      <w:r w:rsidR="00A6018E" w:rsidRPr="00A6018E">
        <w:rPr>
          <w:rFonts w:ascii="Times New Roman" w:hAnsi="Times New Roman" w:cs="Times New Roman"/>
          <w:lang w:val="en-US"/>
        </w:rPr>
        <w:t>2/</w:t>
      </w:r>
      <w:r w:rsidR="00A6018E" w:rsidRPr="00A6018E">
        <w:rPr>
          <w:rFonts w:ascii="Times New Roman" w:hAnsi="Times New Roman" w:cs="Times New Roman"/>
          <w:i/>
          <w:lang w:val="en-US"/>
        </w:rPr>
        <w:t>m</w:t>
      </w:r>
      <w:r w:rsidR="00A6018E" w:rsidRPr="00A6018E">
        <w:rPr>
          <w:rFonts w:ascii="Times New Roman" w:hAnsi="Times New Roman" w:cs="Times New Roman"/>
          <w:lang w:val="en-US"/>
        </w:rPr>
        <w:t>).</w:t>
      </w:r>
      <w:r w:rsidR="00EF0D44" w:rsidRPr="00A6018E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The a</w:t>
      </w:r>
      <w:r w:rsidR="00A7237E">
        <w:rPr>
          <w:rFonts w:ascii="Times New Roman" w:hAnsi="Times New Roman" w:cs="Times New Roman"/>
          <w:lang w:val="en-US"/>
        </w:rPr>
        <w:t xml:space="preserve">tomic models for other associated phases, </w:t>
      </w:r>
      <w:r>
        <w:rPr>
          <w:rFonts w:ascii="Times New Roman" w:hAnsi="Times New Roman" w:cs="Times New Roman"/>
          <w:lang w:val="en-US"/>
        </w:rPr>
        <w:t xml:space="preserve">which </w:t>
      </w:r>
      <w:r w:rsidR="00A7237E">
        <w:rPr>
          <w:rFonts w:ascii="Times New Roman" w:hAnsi="Times New Roman" w:cs="Times New Roman"/>
          <w:lang w:val="en-US"/>
        </w:rPr>
        <w:t xml:space="preserve">occurred in some samples as unreacted precursors, were </w:t>
      </w:r>
      <w:r>
        <w:rPr>
          <w:rFonts w:ascii="Times New Roman" w:hAnsi="Times New Roman" w:cs="Times New Roman"/>
          <w:lang w:val="en-US"/>
        </w:rPr>
        <w:t xml:space="preserve">derived </w:t>
      </w:r>
      <w:r w:rsidR="00A7237E">
        <w:rPr>
          <w:rFonts w:ascii="Times New Roman" w:hAnsi="Times New Roman" w:cs="Times New Roman"/>
          <w:lang w:val="en-US"/>
        </w:rPr>
        <w:t xml:space="preserve">from </w:t>
      </w:r>
      <w:proofErr w:type="spellStart"/>
      <w:r w:rsidR="00A7237E" w:rsidRPr="00A7237E">
        <w:rPr>
          <w:rFonts w:ascii="Times New Roman" w:hAnsi="Times New Roman" w:cs="Times New Roman"/>
          <w:lang w:val="en-US"/>
        </w:rPr>
        <w:t>Coduri</w:t>
      </w:r>
      <w:proofErr w:type="spellEnd"/>
      <w:r w:rsidR="00A7237E">
        <w:rPr>
          <w:rFonts w:ascii="Times New Roman" w:hAnsi="Times New Roman" w:cs="Times New Roman"/>
          <w:lang w:val="en-US"/>
        </w:rPr>
        <w:t xml:space="preserve"> et al. (2013) for the cubic Y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2</w:t>
      </w:r>
      <w:r w:rsidR="00A7237E">
        <w:rPr>
          <w:rFonts w:ascii="Times New Roman" w:hAnsi="Times New Roman" w:cs="Times New Roman"/>
          <w:lang w:val="en-US"/>
        </w:rPr>
        <w:t>O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3</w:t>
      </w:r>
      <w:r w:rsidR="00A7237E">
        <w:rPr>
          <w:rFonts w:ascii="Times New Roman" w:hAnsi="Times New Roman" w:cs="Times New Roman"/>
          <w:lang w:val="en-US"/>
        </w:rPr>
        <w:t xml:space="preserve"> phase (</w:t>
      </w:r>
      <w:proofErr w:type="spellStart"/>
      <w:r w:rsidR="00A7237E" w:rsidRPr="00A6018E">
        <w:rPr>
          <w:rFonts w:ascii="Times New Roman" w:hAnsi="Times New Roman" w:cs="Times New Roman"/>
          <w:lang w:val="en-US"/>
        </w:rPr>
        <w:t>s</w:t>
      </w:r>
      <w:r w:rsidR="00A7237E">
        <w:rPr>
          <w:rFonts w:ascii="Times New Roman" w:hAnsi="Times New Roman" w:cs="Times New Roman"/>
          <w:lang w:val="en-US"/>
        </w:rPr>
        <w:t>.g</w:t>
      </w:r>
      <w:proofErr w:type="spellEnd"/>
      <w:r w:rsidR="00A7237E">
        <w:rPr>
          <w:rFonts w:ascii="Times New Roman" w:hAnsi="Times New Roman" w:cs="Times New Roman"/>
          <w:lang w:val="en-US"/>
        </w:rPr>
        <w:t>.</w:t>
      </w:r>
      <w:r w:rsidR="00A7237E" w:rsidRPr="00A6018E">
        <w:rPr>
          <w:rFonts w:ascii="Times New Roman" w:hAnsi="Times New Roman" w:cs="Times New Roman"/>
          <w:lang w:val="en-US"/>
        </w:rPr>
        <w:t xml:space="preserve"> </w:t>
      </w:r>
      <w:r w:rsidR="00A7237E">
        <w:rPr>
          <w:rFonts w:ascii="Times New Roman" w:hAnsi="Times New Roman" w:cs="Times New Roman"/>
          <w:i/>
          <w:lang w:val="en-US"/>
        </w:rPr>
        <w:t>Ia</w:t>
      </w:r>
      <w:r w:rsidR="00A7237E" w:rsidRPr="00A7237E">
        <w:rPr>
          <w:rFonts w:ascii="Times New Roman" w:hAnsi="Times New Roman" w:cs="Times New Roman"/>
          <w:lang w:val="en-US"/>
        </w:rPr>
        <w:t>-3</w:t>
      </w:r>
      <w:r w:rsidR="00A7237E">
        <w:rPr>
          <w:rFonts w:ascii="Times New Roman" w:hAnsi="Times New Roman" w:cs="Times New Roman"/>
          <w:lang w:val="en-US"/>
        </w:rPr>
        <w:t xml:space="preserve">), from </w:t>
      </w:r>
      <w:r w:rsidR="00A7237E" w:rsidRPr="00A7237E">
        <w:rPr>
          <w:rFonts w:ascii="Times New Roman" w:hAnsi="Times New Roman" w:cs="Times New Roman"/>
          <w:lang w:val="en-US"/>
        </w:rPr>
        <w:t>Saiki</w:t>
      </w:r>
      <w:r w:rsidR="00A7237E">
        <w:rPr>
          <w:rFonts w:ascii="Times New Roman" w:hAnsi="Times New Roman" w:cs="Times New Roman"/>
          <w:lang w:val="en-US"/>
        </w:rPr>
        <w:t xml:space="preserve"> et al. (1985) for the cubic Yb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2</w:t>
      </w:r>
      <w:r w:rsidR="00A7237E">
        <w:rPr>
          <w:rFonts w:ascii="Times New Roman" w:hAnsi="Times New Roman" w:cs="Times New Roman"/>
          <w:lang w:val="en-US"/>
        </w:rPr>
        <w:t>O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3</w:t>
      </w:r>
      <w:r w:rsidR="00A7237E">
        <w:rPr>
          <w:rFonts w:ascii="Times New Roman" w:hAnsi="Times New Roman" w:cs="Times New Roman"/>
          <w:lang w:val="en-US"/>
        </w:rPr>
        <w:t xml:space="preserve"> phase (</w:t>
      </w:r>
      <w:proofErr w:type="spellStart"/>
      <w:r w:rsidR="00A7237E" w:rsidRPr="00A6018E">
        <w:rPr>
          <w:rFonts w:ascii="Times New Roman" w:hAnsi="Times New Roman" w:cs="Times New Roman"/>
          <w:lang w:val="en-US"/>
        </w:rPr>
        <w:t>s</w:t>
      </w:r>
      <w:r w:rsidR="00A7237E">
        <w:rPr>
          <w:rFonts w:ascii="Times New Roman" w:hAnsi="Times New Roman" w:cs="Times New Roman"/>
          <w:lang w:val="en-US"/>
        </w:rPr>
        <w:t>.g</w:t>
      </w:r>
      <w:proofErr w:type="spellEnd"/>
      <w:r w:rsidR="00A7237E">
        <w:rPr>
          <w:rFonts w:ascii="Times New Roman" w:hAnsi="Times New Roman" w:cs="Times New Roman"/>
          <w:lang w:val="en-US"/>
        </w:rPr>
        <w:t>.</w:t>
      </w:r>
      <w:r w:rsidR="00A7237E" w:rsidRPr="00A6018E">
        <w:rPr>
          <w:rFonts w:ascii="Times New Roman" w:hAnsi="Times New Roman" w:cs="Times New Roman"/>
          <w:lang w:val="en-US"/>
        </w:rPr>
        <w:t xml:space="preserve"> </w:t>
      </w:r>
      <w:r w:rsidR="00A7237E">
        <w:rPr>
          <w:rFonts w:ascii="Times New Roman" w:hAnsi="Times New Roman" w:cs="Times New Roman"/>
          <w:i/>
          <w:lang w:val="en-US"/>
        </w:rPr>
        <w:t>Ia</w:t>
      </w:r>
      <w:r w:rsidR="00A7237E" w:rsidRPr="00A7237E">
        <w:rPr>
          <w:rFonts w:ascii="Times New Roman" w:hAnsi="Times New Roman" w:cs="Times New Roman"/>
          <w:lang w:val="en-US"/>
        </w:rPr>
        <w:t>-3</w:t>
      </w:r>
      <w:r w:rsidR="00A7237E">
        <w:rPr>
          <w:rFonts w:ascii="Times New Roman" w:hAnsi="Times New Roman" w:cs="Times New Roman"/>
          <w:lang w:val="en-US"/>
        </w:rPr>
        <w:t xml:space="preserve">), from </w:t>
      </w:r>
      <w:r w:rsidR="00A7237E" w:rsidRPr="00A7237E">
        <w:rPr>
          <w:rFonts w:ascii="Times New Roman" w:hAnsi="Times New Roman" w:cs="Times New Roman"/>
          <w:lang w:val="en-US"/>
        </w:rPr>
        <w:t>Szymanik</w:t>
      </w:r>
      <w:r w:rsidR="00A7237E">
        <w:rPr>
          <w:rFonts w:ascii="Times New Roman" w:hAnsi="Times New Roman" w:cs="Times New Roman"/>
          <w:lang w:val="en-US"/>
        </w:rPr>
        <w:t xml:space="preserve"> et al. (1998) for the </w:t>
      </w:r>
      <w:r w:rsidR="00A7237E" w:rsidRPr="00A7237E">
        <w:rPr>
          <w:rFonts w:ascii="Times New Roman" w:hAnsi="Times New Roman" w:cs="Times New Roman"/>
          <w:lang w:val="en-US"/>
        </w:rPr>
        <w:t>trigonal</w:t>
      </w:r>
      <w:r w:rsidR="00A7237E">
        <w:rPr>
          <w:rFonts w:ascii="Times New Roman" w:hAnsi="Times New Roman" w:cs="Times New Roman"/>
          <w:lang w:val="en-US"/>
        </w:rPr>
        <w:t xml:space="preserve"> Ba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3</w:t>
      </w:r>
      <w:r w:rsidR="00A7237E">
        <w:rPr>
          <w:rFonts w:ascii="Times New Roman" w:hAnsi="Times New Roman" w:cs="Times New Roman"/>
          <w:lang w:val="en-US"/>
        </w:rPr>
        <w:t>Y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4</w:t>
      </w:r>
      <w:r w:rsidR="00A7237E">
        <w:rPr>
          <w:rFonts w:ascii="Times New Roman" w:hAnsi="Times New Roman" w:cs="Times New Roman"/>
          <w:lang w:val="en-US"/>
        </w:rPr>
        <w:t>O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9</w:t>
      </w:r>
      <w:r w:rsidR="00A7237E">
        <w:rPr>
          <w:rFonts w:ascii="Times New Roman" w:hAnsi="Times New Roman" w:cs="Times New Roman"/>
          <w:lang w:val="en-US"/>
        </w:rPr>
        <w:t xml:space="preserve"> phase (</w:t>
      </w:r>
      <w:proofErr w:type="spellStart"/>
      <w:r w:rsidR="00A7237E" w:rsidRPr="00A7237E">
        <w:rPr>
          <w:rFonts w:ascii="Times New Roman" w:hAnsi="Times New Roman" w:cs="Times New Roman"/>
          <w:lang w:val="en-US"/>
        </w:rPr>
        <w:t>s.g</w:t>
      </w:r>
      <w:proofErr w:type="spellEnd"/>
      <w:r w:rsidR="00A7237E" w:rsidRPr="00A7237E">
        <w:rPr>
          <w:rFonts w:ascii="Times New Roman" w:hAnsi="Times New Roman" w:cs="Times New Roman"/>
          <w:lang w:val="en-US"/>
        </w:rPr>
        <w:t xml:space="preserve">. </w:t>
      </w:r>
      <w:r w:rsidR="00A7237E" w:rsidRPr="00A7237E">
        <w:rPr>
          <w:rFonts w:ascii="Times New Roman" w:hAnsi="Times New Roman" w:cs="Times New Roman"/>
          <w:i/>
          <w:lang w:val="en-US"/>
        </w:rPr>
        <w:t>R</w:t>
      </w:r>
      <w:r w:rsidR="00A7237E" w:rsidRPr="00A7237E">
        <w:rPr>
          <w:rFonts w:ascii="Times New Roman" w:hAnsi="Times New Roman" w:cs="Times New Roman"/>
          <w:lang w:val="en-US"/>
        </w:rPr>
        <w:t>3H</w:t>
      </w:r>
      <w:r w:rsidR="00A7237E">
        <w:rPr>
          <w:rFonts w:ascii="Times New Roman" w:hAnsi="Times New Roman" w:cs="Times New Roman"/>
          <w:lang w:val="en-US"/>
        </w:rPr>
        <w:t xml:space="preserve">), and from </w:t>
      </w:r>
      <w:r w:rsidR="00A7237E" w:rsidRPr="00A7237E">
        <w:rPr>
          <w:rFonts w:ascii="Times New Roman" w:hAnsi="Times New Roman" w:cs="Times New Roman"/>
          <w:lang w:val="en-US"/>
        </w:rPr>
        <w:t xml:space="preserve">Antao and Hassan </w:t>
      </w:r>
      <w:r w:rsidR="00A7237E">
        <w:rPr>
          <w:rFonts w:ascii="Times New Roman" w:hAnsi="Times New Roman" w:cs="Times New Roman"/>
          <w:lang w:val="en-US"/>
        </w:rPr>
        <w:t xml:space="preserve">(2009) for the orthorhombic </w:t>
      </w:r>
      <w:r w:rsidR="00A7237E" w:rsidRPr="00A7237E">
        <w:rPr>
          <w:rFonts w:ascii="Times New Roman" w:hAnsi="Times New Roman" w:cs="Times New Roman"/>
          <w:lang w:val="en-US"/>
        </w:rPr>
        <w:t>BaCO</w:t>
      </w:r>
      <w:r w:rsidR="00A7237E" w:rsidRPr="00A7237E">
        <w:rPr>
          <w:rFonts w:ascii="Times New Roman" w:hAnsi="Times New Roman" w:cs="Times New Roman"/>
          <w:vertAlign w:val="subscript"/>
          <w:lang w:val="en-US"/>
        </w:rPr>
        <w:t>3</w:t>
      </w:r>
      <w:r w:rsidR="00A7237E">
        <w:rPr>
          <w:rFonts w:ascii="Times New Roman" w:hAnsi="Times New Roman" w:cs="Times New Roman"/>
          <w:lang w:val="en-US"/>
        </w:rPr>
        <w:t xml:space="preserve"> phase </w:t>
      </w:r>
      <w:r w:rsidR="00A7237E" w:rsidRPr="00A7237E">
        <w:rPr>
          <w:rFonts w:ascii="Times New Roman" w:hAnsi="Times New Roman" w:cs="Times New Roman"/>
          <w:lang w:val="en-US"/>
        </w:rPr>
        <w:t>(</w:t>
      </w:r>
      <w:proofErr w:type="spellStart"/>
      <w:r w:rsidR="00A7237E">
        <w:rPr>
          <w:rFonts w:ascii="Times New Roman" w:hAnsi="Times New Roman" w:cs="Times New Roman"/>
          <w:lang w:val="en-US"/>
        </w:rPr>
        <w:t>s.g</w:t>
      </w:r>
      <w:proofErr w:type="spellEnd"/>
      <w:r w:rsidR="00A7237E">
        <w:rPr>
          <w:rFonts w:ascii="Times New Roman" w:hAnsi="Times New Roman" w:cs="Times New Roman"/>
          <w:lang w:val="en-US"/>
        </w:rPr>
        <w:t>.</w:t>
      </w:r>
      <w:r w:rsidR="00A7237E" w:rsidRPr="00A7237E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A7237E" w:rsidRPr="00A7237E">
        <w:rPr>
          <w:rFonts w:ascii="Times New Roman" w:hAnsi="Times New Roman" w:cs="Times New Roman"/>
          <w:i/>
          <w:lang w:val="en-US"/>
        </w:rPr>
        <w:t>Pcmn</w:t>
      </w:r>
      <w:proofErr w:type="spellEnd"/>
      <w:r w:rsidR="00A7237E" w:rsidRPr="00A7237E">
        <w:rPr>
          <w:rFonts w:ascii="Times New Roman" w:hAnsi="Times New Roman" w:cs="Times New Roman"/>
          <w:lang w:val="en-US"/>
        </w:rPr>
        <w:t>)</w:t>
      </w:r>
      <w:r w:rsidR="00A7237E">
        <w:rPr>
          <w:rFonts w:ascii="Times New Roman" w:hAnsi="Times New Roman" w:cs="Times New Roman"/>
          <w:lang w:val="en-US"/>
        </w:rPr>
        <w:t>.</w:t>
      </w:r>
    </w:p>
    <w:p w14:paraId="1F4661B3" w14:textId="77777777" w:rsidR="00A6018E" w:rsidRDefault="00892F4A" w:rsidP="00957A5B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Known</w:t>
      </w:r>
      <w:r w:rsidR="00EF0D44" w:rsidRPr="00A6018E">
        <w:rPr>
          <w:rFonts w:ascii="Times New Roman" w:hAnsi="Times New Roman" w:cs="Times New Roman"/>
          <w:lang w:val="en-US"/>
        </w:rPr>
        <w:t xml:space="preserve"> instrumental parameters (</w:t>
      </w:r>
      <w:r w:rsidR="00A7237E" w:rsidRPr="00AC0F50">
        <w:rPr>
          <w:rFonts w:ascii="Times New Roman" w:hAnsi="Times New Roman" w:cs="Times New Roman"/>
          <w:i/>
          <w:lang w:val="en-US"/>
        </w:rPr>
        <w:t>e.g.</w:t>
      </w:r>
      <w:r w:rsidR="00A7237E" w:rsidRPr="00A6018E">
        <w:rPr>
          <w:rFonts w:ascii="Times New Roman" w:hAnsi="Times New Roman" w:cs="Times New Roman"/>
          <w:lang w:val="en-US"/>
        </w:rPr>
        <w:t>, goniometer</w:t>
      </w:r>
      <w:r w:rsidR="00A7237E">
        <w:rPr>
          <w:rFonts w:ascii="Times New Roman" w:hAnsi="Times New Roman" w:cs="Times New Roman"/>
          <w:lang w:val="en-US"/>
        </w:rPr>
        <w:t xml:space="preserve"> </w:t>
      </w:r>
      <w:r w:rsidR="00A7237E" w:rsidRPr="00A6018E">
        <w:rPr>
          <w:rFonts w:ascii="Times New Roman" w:hAnsi="Times New Roman" w:cs="Times New Roman"/>
          <w:lang w:val="en-US"/>
        </w:rPr>
        <w:t>radius, slit sizes, geometrical parameters of the X‑ray tube, etc.</w:t>
      </w:r>
      <w:r w:rsidR="00EF0D44" w:rsidRPr="00A6018E">
        <w:rPr>
          <w:rFonts w:ascii="Times New Roman" w:hAnsi="Times New Roman" w:cs="Times New Roman"/>
          <w:lang w:val="en-US"/>
        </w:rPr>
        <w:t xml:space="preserve">) were </w:t>
      </w:r>
      <w:r>
        <w:rPr>
          <w:rFonts w:ascii="Times New Roman" w:hAnsi="Times New Roman" w:cs="Times New Roman"/>
          <w:lang w:val="en-US"/>
        </w:rPr>
        <w:t>employed</w:t>
      </w:r>
      <w:r w:rsidR="00EF0D44" w:rsidRPr="00A6018E">
        <w:rPr>
          <w:rFonts w:ascii="Times New Roman" w:hAnsi="Times New Roman" w:cs="Times New Roman"/>
          <w:lang w:val="en-US"/>
        </w:rPr>
        <w:t xml:space="preserve"> to calculate the instrumental contribution to</w:t>
      </w:r>
      <w:r w:rsidR="00A7237E">
        <w:rPr>
          <w:rFonts w:ascii="Times New Roman" w:hAnsi="Times New Roman" w:cs="Times New Roman"/>
          <w:lang w:val="en-US"/>
        </w:rPr>
        <w:t xml:space="preserve"> </w:t>
      </w:r>
      <w:r w:rsidR="00EF0D44" w:rsidRPr="00A6018E">
        <w:rPr>
          <w:rFonts w:ascii="Times New Roman" w:hAnsi="Times New Roman" w:cs="Times New Roman"/>
          <w:lang w:val="en-US"/>
        </w:rPr>
        <w:t>the peak profiles</w:t>
      </w:r>
      <w:r w:rsidR="00DB27DD">
        <w:rPr>
          <w:rFonts w:ascii="Times New Roman" w:hAnsi="Times New Roman" w:cs="Times New Roman"/>
          <w:lang w:val="en-US"/>
        </w:rPr>
        <w:t xml:space="preserve">. </w:t>
      </w:r>
      <w:r w:rsidR="00D0581B" w:rsidRPr="00D0581B">
        <w:rPr>
          <w:rFonts w:ascii="Times New Roman" w:hAnsi="Times New Roman" w:cs="Times New Roman"/>
          <w:lang w:val="en-US"/>
        </w:rPr>
        <w:t>Additionally, specimen-related Lorentzian broadening was extracted from the observed peak profiles to assess the crystallite size of the main phases through the integral breadth approach (Laue, 1926).</w:t>
      </w:r>
      <w:r w:rsidR="00D0581B">
        <w:rPr>
          <w:rFonts w:ascii="Times New Roman" w:hAnsi="Times New Roman" w:cs="Times New Roman"/>
          <w:lang w:val="en-US"/>
        </w:rPr>
        <w:t xml:space="preserve"> </w:t>
      </w:r>
      <w:r w:rsidR="00EF0D44" w:rsidRPr="00A6018E">
        <w:rPr>
          <w:rFonts w:ascii="Times New Roman" w:hAnsi="Times New Roman" w:cs="Times New Roman"/>
          <w:lang w:val="en-US"/>
        </w:rPr>
        <w:t>An instrumental zero error was fixed at the value determined</w:t>
      </w:r>
      <w:r w:rsidR="00A7237E">
        <w:rPr>
          <w:rFonts w:ascii="Times New Roman" w:hAnsi="Times New Roman" w:cs="Times New Roman"/>
          <w:lang w:val="en-US"/>
        </w:rPr>
        <w:t xml:space="preserve"> </w:t>
      </w:r>
      <w:r w:rsidR="00EF0D44" w:rsidRPr="00A6018E">
        <w:rPr>
          <w:rFonts w:ascii="Times New Roman" w:hAnsi="Times New Roman" w:cs="Times New Roman"/>
          <w:lang w:val="en-US"/>
        </w:rPr>
        <w:t xml:space="preserve">using the Si </w:t>
      </w:r>
      <w:r w:rsidR="00A7237E">
        <w:rPr>
          <w:rFonts w:ascii="Times New Roman" w:hAnsi="Times New Roman" w:cs="Times New Roman"/>
          <w:lang w:val="en-US"/>
        </w:rPr>
        <w:t xml:space="preserve">640e </w:t>
      </w:r>
      <w:r w:rsidR="00EF0D44" w:rsidRPr="00A6018E">
        <w:rPr>
          <w:rFonts w:ascii="Times New Roman" w:hAnsi="Times New Roman" w:cs="Times New Roman"/>
          <w:lang w:val="en-US"/>
        </w:rPr>
        <w:t>NIST standard, and refinement included a sample</w:t>
      </w:r>
      <w:r w:rsidR="00A7237E">
        <w:rPr>
          <w:rFonts w:ascii="Times New Roman" w:hAnsi="Times New Roman" w:cs="Times New Roman"/>
          <w:lang w:val="en-US"/>
        </w:rPr>
        <w:t xml:space="preserve"> </w:t>
      </w:r>
      <w:r w:rsidR="00EF0D44" w:rsidRPr="00A6018E">
        <w:rPr>
          <w:rFonts w:ascii="Times New Roman" w:hAnsi="Times New Roman" w:cs="Times New Roman"/>
          <w:lang w:val="en-US"/>
        </w:rPr>
        <w:t xml:space="preserve">displacement correction and a </w:t>
      </w:r>
      <w:r w:rsidR="00A7237E">
        <w:rPr>
          <w:rFonts w:ascii="Times New Roman" w:hAnsi="Times New Roman" w:cs="Times New Roman"/>
          <w:lang w:val="en-US"/>
        </w:rPr>
        <w:t>5</w:t>
      </w:r>
      <w:r w:rsidR="00EF0D44" w:rsidRPr="00A6018E">
        <w:rPr>
          <w:rFonts w:ascii="Times New Roman" w:hAnsi="Times New Roman" w:cs="Times New Roman"/>
          <w:lang w:val="en-US"/>
        </w:rPr>
        <w:t>-term Chebyshev polynomial to</w:t>
      </w:r>
      <w:r w:rsidR="00A7237E">
        <w:rPr>
          <w:rFonts w:ascii="Times New Roman" w:hAnsi="Times New Roman" w:cs="Times New Roman"/>
          <w:lang w:val="en-US"/>
        </w:rPr>
        <w:t xml:space="preserve"> </w:t>
      </w:r>
      <w:r w:rsidR="00EF0D44" w:rsidRPr="00A6018E">
        <w:rPr>
          <w:rFonts w:ascii="Times New Roman" w:hAnsi="Times New Roman" w:cs="Times New Roman"/>
          <w:lang w:val="en-US"/>
        </w:rPr>
        <w:t>model the background.</w:t>
      </w:r>
      <w:r w:rsidR="00957A5B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In addition to the </w:t>
      </w:r>
      <w:proofErr w:type="gramStart"/>
      <w:r>
        <w:rPr>
          <w:rFonts w:ascii="Times New Roman" w:hAnsi="Times New Roman" w:cs="Times New Roman"/>
          <w:lang w:val="en-US"/>
        </w:rPr>
        <w:t xml:space="preserve">aforementioned </w:t>
      </w:r>
      <w:r w:rsidR="00957A5B">
        <w:rPr>
          <w:rFonts w:ascii="Times New Roman" w:hAnsi="Times New Roman" w:cs="Times New Roman"/>
          <w:lang w:val="en-US"/>
        </w:rPr>
        <w:t>variables</w:t>
      </w:r>
      <w:proofErr w:type="gramEnd"/>
      <w:r>
        <w:rPr>
          <w:rFonts w:ascii="Times New Roman" w:hAnsi="Times New Roman" w:cs="Times New Roman"/>
          <w:lang w:val="en-US"/>
        </w:rPr>
        <w:t>,</w:t>
      </w:r>
      <w:r w:rsidR="00957A5B">
        <w:rPr>
          <w:rFonts w:ascii="Times New Roman" w:hAnsi="Times New Roman" w:cs="Times New Roman"/>
          <w:lang w:val="en-US"/>
        </w:rPr>
        <w:t xml:space="preserve"> the </w:t>
      </w:r>
      <w:r w:rsidR="00957A5B" w:rsidRPr="00A6018E">
        <w:rPr>
          <w:rFonts w:ascii="Times New Roman" w:hAnsi="Times New Roman" w:cs="Times New Roman"/>
          <w:lang w:val="en-US"/>
        </w:rPr>
        <w:t xml:space="preserve">multiphase refinements </w:t>
      </w:r>
      <w:r>
        <w:rPr>
          <w:rFonts w:ascii="Times New Roman" w:hAnsi="Times New Roman" w:cs="Times New Roman"/>
          <w:lang w:val="en-US"/>
        </w:rPr>
        <w:t xml:space="preserve">included </w:t>
      </w:r>
      <w:r w:rsidR="00957A5B" w:rsidRPr="00A6018E">
        <w:rPr>
          <w:rFonts w:ascii="Times New Roman" w:hAnsi="Times New Roman" w:cs="Times New Roman"/>
          <w:lang w:val="en-US"/>
        </w:rPr>
        <w:t>scale factors and unit-cell parameters</w:t>
      </w:r>
      <w:r>
        <w:rPr>
          <w:rFonts w:ascii="Times New Roman" w:hAnsi="Times New Roman" w:cs="Times New Roman"/>
          <w:lang w:val="en-US"/>
        </w:rPr>
        <w:t xml:space="preserve"> for each identified phase</w:t>
      </w:r>
      <w:r w:rsidR="00957A5B" w:rsidRPr="00A6018E">
        <w:rPr>
          <w:rFonts w:ascii="Times New Roman" w:hAnsi="Times New Roman" w:cs="Times New Roman"/>
          <w:lang w:val="en-US"/>
        </w:rPr>
        <w:t>.</w:t>
      </w:r>
    </w:p>
    <w:p w14:paraId="5DFB906A" w14:textId="4D2D9E21" w:rsidR="00EF0D44" w:rsidRDefault="00EF0D44" w:rsidP="00EF0D44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 w:rsidRPr="00A6018E">
        <w:rPr>
          <w:rFonts w:ascii="Times New Roman" w:hAnsi="Times New Roman" w:cs="Times New Roman"/>
          <w:lang w:val="en-US"/>
        </w:rPr>
        <w:t>The Rietveld refinement plot</w:t>
      </w:r>
      <w:r w:rsidR="00892F4A">
        <w:rPr>
          <w:rFonts w:ascii="Times New Roman" w:hAnsi="Times New Roman" w:cs="Times New Roman"/>
          <w:lang w:val="en-US"/>
        </w:rPr>
        <w:t>s</w:t>
      </w:r>
      <w:r w:rsidRPr="00A6018E">
        <w:rPr>
          <w:rFonts w:ascii="Times New Roman" w:hAnsi="Times New Roman" w:cs="Times New Roman"/>
          <w:lang w:val="en-US"/>
        </w:rPr>
        <w:t xml:space="preserve"> of the </w:t>
      </w:r>
      <w:bookmarkStart w:id="0" w:name="_Hlk177553009"/>
      <w:r w:rsidR="00BB4E42" w:rsidRPr="00812C70">
        <w:rPr>
          <w:rFonts w:ascii="Times New Roman" w:hAnsi="Times New Roman" w:cs="Times New Roman"/>
          <w:i/>
          <w:iCs/>
          <w:lang w:val="en-US"/>
        </w:rPr>
        <w:t>LEM</w:t>
      </w:r>
      <w:r w:rsidR="00BB4E42">
        <w:rPr>
          <w:rFonts w:ascii="Times New Roman" w:hAnsi="Times New Roman" w:cs="Times New Roman"/>
          <w:lang w:val="en-US"/>
        </w:rPr>
        <w:t xml:space="preserve">, </w:t>
      </w:r>
      <w:r w:rsidR="00BB4E42" w:rsidRPr="00812C70">
        <w:rPr>
          <w:rFonts w:ascii="Times New Roman" w:hAnsi="Times New Roman" w:cs="Times New Roman"/>
          <w:i/>
          <w:iCs/>
          <w:lang w:val="en-US"/>
        </w:rPr>
        <w:t>HEM</w:t>
      </w:r>
      <w:r w:rsidR="00BB4E42">
        <w:rPr>
          <w:rFonts w:ascii="Times New Roman" w:hAnsi="Times New Roman" w:cs="Times New Roman"/>
          <w:lang w:val="en-US"/>
        </w:rPr>
        <w:t xml:space="preserve"> and </w:t>
      </w:r>
      <w:r w:rsidR="00812C70" w:rsidRPr="00812C70">
        <w:rPr>
          <w:rFonts w:ascii="Times New Roman" w:hAnsi="Times New Roman" w:cs="Times New Roman"/>
          <w:i/>
          <w:iCs/>
          <w:lang w:val="en-US"/>
        </w:rPr>
        <w:t>MSG</w:t>
      </w:r>
      <w:r w:rsidR="00812C70">
        <w:rPr>
          <w:rFonts w:ascii="Times New Roman" w:hAnsi="Times New Roman" w:cs="Times New Roman"/>
          <w:lang w:val="en-US"/>
        </w:rPr>
        <w:t xml:space="preserve"> </w:t>
      </w:r>
      <w:bookmarkEnd w:id="0"/>
      <w:r w:rsidR="00995845" w:rsidRPr="00812C70">
        <w:rPr>
          <w:rFonts w:ascii="Times New Roman" w:hAnsi="Times New Roman" w:cs="Times New Roman"/>
          <w:lang w:val="en-US"/>
        </w:rPr>
        <w:t>powder</w:t>
      </w:r>
      <w:r w:rsidR="00892F4A" w:rsidRPr="00812C70">
        <w:rPr>
          <w:rFonts w:ascii="Times New Roman" w:hAnsi="Times New Roman" w:cs="Times New Roman"/>
          <w:lang w:val="en-US"/>
        </w:rPr>
        <w:t xml:space="preserve"> </w:t>
      </w:r>
      <w:r w:rsidRPr="00812C70">
        <w:rPr>
          <w:rFonts w:ascii="Times New Roman" w:hAnsi="Times New Roman" w:cs="Times New Roman"/>
          <w:lang w:val="en-US"/>
        </w:rPr>
        <w:t>sample</w:t>
      </w:r>
      <w:r w:rsidR="00432866" w:rsidRPr="00812C70">
        <w:rPr>
          <w:rFonts w:ascii="Times New Roman" w:hAnsi="Times New Roman" w:cs="Times New Roman"/>
          <w:lang w:val="en-US"/>
        </w:rPr>
        <w:t>s</w:t>
      </w:r>
      <w:r w:rsidRPr="00A6018E">
        <w:rPr>
          <w:rFonts w:ascii="Times New Roman" w:hAnsi="Times New Roman" w:cs="Times New Roman"/>
          <w:lang w:val="en-US"/>
        </w:rPr>
        <w:t xml:space="preserve"> data collected at </w:t>
      </w:r>
      <w:r w:rsidRPr="00432866">
        <w:rPr>
          <w:rFonts w:ascii="Times New Roman" w:hAnsi="Times New Roman" w:cs="Times New Roman"/>
          <w:i/>
          <w:lang w:val="en-US"/>
        </w:rPr>
        <w:t>RT</w:t>
      </w:r>
      <w:r w:rsidRPr="00A6018E">
        <w:rPr>
          <w:rFonts w:ascii="Times New Roman" w:hAnsi="Times New Roman" w:cs="Times New Roman"/>
          <w:lang w:val="en-US"/>
        </w:rPr>
        <w:t xml:space="preserve"> </w:t>
      </w:r>
      <w:r w:rsidR="00432866">
        <w:rPr>
          <w:rFonts w:ascii="Times New Roman" w:hAnsi="Times New Roman" w:cs="Times New Roman"/>
          <w:lang w:val="en-US"/>
        </w:rPr>
        <w:t>are</w:t>
      </w:r>
      <w:r w:rsidRPr="00A6018E">
        <w:rPr>
          <w:rFonts w:ascii="Times New Roman" w:hAnsi="Times New Roman" w:cs="Times New Roman"/>
          <w:lang w:val="en-US"/>
        </w:rPr>
        <w:t xml:space="preserve"> shown in Figure </w:t>
      </w:r>
      <w:r w:rsidR="004C5B3C">
        <w:rPr>
          <w:rFonts w:ascii="Times New Roman" w:hAnsi="Times New Roman" w:cs="Times New Roman"/>
          <w:lang w:val="en-US"/>
        </w:rPr>
        <w:t>S1</w:t>
      </w:r>
      <w:r w:rsidR="00892F4A">
        <w:rPr>
          <w:rFonts w:ascii="Times New Roman" w:hAnsi="Times New Roman" w:cs="Times New Roman"/>
          <w:lang w:val="en-US"/>
        </w:rPr>
        <w:t xml:space="preserve">, while those for the </w:t>
      </w:r>
      <w:r w:rsidR="00812C70" w:rsidRPr="00812C70">
        <w:rPr>
          <w:rFonts w:ascii="Times New Roman" w:hAnsi="Times New Roman" w:cs="Times New Roman"/>
          <w:i/>
          <w:iCs/>
          <w:lang w:val="en-US"/>
        </w:rPr>
        <w:t>LEM</w:t>
      </w:r>
      <w:r w:rsidR="00812C70" w:rsidRPr="00812C70">
        <w:rPr>
          <w:rFonts w:ascii="Times New Roman" w:hAnsi="Times New Roman" w:cs="Times New Roman"/>
          <w:lang w:val="en-US"/>
        </w:rPr>
        <w:t xml:space="preserve">, </w:t>
      </w:r>
      <w:r w:rsidR="00812C70" w:rsidRPr="00812C70">
        <w:rPr>
          <w:rFonts w:ascii="Times New Roman" w:hAnsi="Times New Roman" w:cs="Times New Roman"/>
          <w:i/>
          <w:iCs/>
          <w:lang w:val="en-US"/>
        </w:rPr>
        <w:t>HEM</w:t>
      </w:r>
      <w:r w:rsidR="00812C70" w:rsidRPr="00812C70">
        <w:rPr>
          <w:rFonts w:ascii="Times New Roman" w:hAnsi="Times New Roman" w:cs="Times New Roman"/>
          <w:lang w:val="en-US"/>
        </w:rPr>
        <w:t xml:space="preserve"> and </w:t>
      </w:r>
      <w:r w:rsidR="00812C70" w:rsidRPr="00812C70">
        <w:rPr>
          <w:rFonts w:ascii="Times New Roman" w:hAnsi="Times New Roman" w:cs="Times New Roman"/>
          <w:i/>
          <w:iCs/>
          <w:lang w:val="en-US"/>
        </w:rPr>
        <w:t>MSG</w:t>
      </w:r>
      <w:r w:rsidR="00812C70" w:rsidRPr="00812C70">
        <w:rPr>
          <w:rFonts w:ascii="Times New Roman" w:hAnsi="Times New Roman" w:cs="Times New Roman"/>
          <w:lang w:val="en-US"/>
        </w:rPr>
        <w:t xml:space="preserve"> </w:t>
      </w:r>
      <w:r w:rsidR="00892F4A" w:rsidRPr="00812C70">
        <w:rPr>
          <w:rFonts w:ascii="Times New Roman" w:hAnsi="Times New Roman" w:cs="Times New Roman"/>
          <w:lang w:val="en-US"/>
        </w:rPr>
        <w:t>pellet samples</w:t>
      </w:r>
      <w:r w:rsidR="00892F4A">
        <w:rPr>
          <w:rFonts w:ascii="Times New Roman" w:hAnsi="Times New Roman" w:cs="Times New Roman"/>
          <w:lang w:val="en-US"/>
        </w:rPr>
        <w:t xml:space="preserve"> are shown in Figure </w:t>
      </w:r>
      <w:r w:rsidR="004C5B3C">
        <w:rPr>
          <w:rFonts w:ascii="Times New Roman" w:hAnsi="Times New Roman" w:cs="Times New Roman"/>
          <w:lang w:val="en-US"/>
        </w:rPr>
        <w:t>S2</w:t>
      </w:r>
      <w:r w:rsidR="00892F4A">
        <w:rPr>
          <w:rFonts w:ascii="Times New Roman" w:hAnsi="Times New Roman" w:cs="Times New Roman"/>
          <w:lang w:val="en-US"/>
        </w:rPr>
        <w:t>.</w:t>
      </w:r>
    </w:p>
    <w:p w14:paraId="672A6659" w14:textId="77777777" w:rsidR="00DB27DD" w:rsidRDefault="00DB27DD" w:rsidP="00DB27DD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0A37501D" w14:textId="77777777" w:rsidR="00AC0F50" w:rsidRDefault="00AC0F50">
      <w:pPr>
        <w:spacing w:after="200" w:line="276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tbl>
      <w:tblPr>
        <w:tblStyle w:val="Grigliatabella"/>
        <w:tblW w:w="96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20"/>
        <w:gridCol w:w="4820"/>
      </w:tblGrid>
      <w:tr w:rsidR="00AC0F50" w:rsidRPr="00AC0F50" w14:paraId="5DAB6C7B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02EB378F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lang w:val="en-US"/>
              </w:rPr>
              <w:lastRenderedPageBreak/>
              <w:drawing>
                <wp:inline distT="0" distB="0" distL="0" distR="0" wp14:anchorId="4FC86431" wp14:editId="6390D372">
                  <wp:extent cx="3058795" cy="1534795"/>
                  <wp:effectExtent l="0" t="0" r="0" b="0"/>
                  <wp:docPr id="1" name="Immagin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0" w:type="dxa"/>
            <w:vAlign w:val="center"/>
          </w:tcPr>
          <w:p w14:paraId="6A05A809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lang w:val="en-US"/>
              </w:rPr>
              <w:drawing>
                <wp:inline distT="0" distB="0" distL="0" distR="0" wp14:anchorId="155AB9E9" wp14:editId="53D9BF68">
                  <wp:extent cx="3058795" cy="1534795"/>
                  <wp:effectExtent l="0" t="0" r="0" b="0"/>
                  <wp:docPr id="2" name="Immagin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F50" w:rsidRPr="00AC0F50" w14:paraId="20988227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45F94F8F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lang w:val="en-US"/>
              </w:rPr>
              <w:t>a</w:t>
            </w:r>
          </w:p>
        </w:tc>
        <w:tc>
          <w:tcPr>
            <w:tcW w:w="4820" w:type="dxa"/>
            <w:vAlign w:val="center"/>
          </w:tcPr>
          <w:p w14:paraId="74F4F774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lang w:val="en-US"/>
              </w:rPr>
              <w:t>b</w:t>
            </w:r>
          </w:p>
        </w:tc>
      </w:tr>
      <w:tr w:rsidR="00AC0F50" w:rsidRPr="00AC0F50" w14:paraId="5A39BBE3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41C8F396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lang w:val="en-US"/>
              </w:rPr>
              <w:drawing>
                <wp:inline distT="0" distB="0" distL="0" distR="0" wp14:anchorId="46D9B594" wp14:editId="015FD0CB">
                  <wp:extent cx="3058795" cy="1534795"/>
                  <wp:effectExtent l="0" t="0" r="0" b="0"/>
                  <wp:docPr id="3" name="Immagin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0" w:type="dxa"/>
            <w:vAlign w:val="center"/>
          </w:tcPr>
          <w:p w14:paraId="72A3D3EC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</w:p>
        </w:tc>
      </w:tr>
      <w:tr w:rsidR="00AC0F50" w:rsidRPr="00AC0F50" w14:paraId="42361D00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66622524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lang w:val="en-US"/>
              </w:rPr>
              <w:t>c</w:t>
            </w:r>
          </w:p>
        </w:tc>
        <w:tc>
          <w:tcPr>
            <w:tcW w:w="4820" w:type="dxa"/>
            <w:vAlign w:val="center"/>
          </w:tcPr>
          <w:p w14:paraId="0D0B940D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</w:p>
        </w:tc>
      </w:tr>
    </w:tbl>
    <w:p w14:paraId="72EB22E0" w14:textId="6A18435C" w:rsidR="00AC0F50" w:rsidRDefault="00AC0F50" w:rsidP="00AC0F5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C0F50">
        <w:rPr>
          <w:rFonts w:ascii="Times New Roman" w:hAnsi="Times New Roman" w:cs="Times New Roman"/>
          <w:b/>
          <w:sz w:val="20"/>
          <w:szCs w:val="20"/>
          <w:lang w:val="en-US"/>
        </w:rPr>
        <w:t xml:space="preserve">Figure </w:t>
      </w:r>
      <w:r w:rsidR="004C5B3C">
        <w:rPr>
          <w:rFonts w:ascii="Times New Roman" w:hAnsi="Times New Roman" w:cs="Times New Roman"/>
          <w:b/>
          <w:sz w:val="20"/>
          <w:szCs w:val="20"/>
          <w:lang w:val="en-US"/>
        </w:rPr>
        <w:t>S1</w:t>
      </w:r>
      <w:r w:rsidRPr="00AC0F50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 xml:space="preserve"> Rietveld refinement plot for the </w:t>
      </w:r>
      <w:r w:rsidR="00812C70" w:rsidRPr="00812C70">
        <w:rPr>
          <w:rFonts w:ascii="Times New Roman" w:hAnsi="Times New Roman" w:cs="Times New Roman"/>
          <w:i/>
          <w:iCs/>
          <w:sz w:val="20"/>
          <w:szCs w:val="20"/>
          <w:lang w:val="en-US"/>
        </w:rPr>
        <w:t>LEM</w:t>
      </w:r>
      <w:r w:rsidR="00812C70"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812C70" w:rsidRPr="00812C70">
        <w:rPr>
          <w:rFonts w:ascii="Times New Roman" w:hAnsi="Times New Roman" w:cs="Times New Roman"/>
          <w:i/>
          <w:iCs/>
          <w:sz w:val="20"/>
          <w:szCs w:val="20"/>
          <w:lang w:val="en-US"/>
        </w:rPr>
        <w:t>HEM</w:t>
      </w:r>
      <w:r w:rsidR="00812C70"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r w:rsidR="00812C70" w:rsidRPr="00812C70">
        <w:rPr>
          <w:rFonts w:ascii="Times New Roman" w:hAnsi="Times New Roman" w:cs="Times New Roman"/>
          <w:i/>
          <w:iCs/>
          <w:sz w:val="20"/>
          <w:szCs w:val="20"/>
          <w:lang w:val="en-US"/>
        </w:rPr>
        <w:t>MSG</w:t>
      </w:r>
      <w:r w:rsidR="00812C70"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95845" w:rsidRPr="00812C70">
        <w:rPr>
          <w:rFonts w:ascii="Times New Roman" w:hAnsi="Times New Roman" w:cs="Times New Roman"/>
          <w:sz w:val="20"/>
          <w:szCs w:val="20"/>
          <w:lang w:val="en-US"/>
        </w:rPr>
        <w:t>powder</w:t>
      </w:r>
      <w:r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 samples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ollected at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0F50">
        <w:rPr>
          <w:rFonts w:ascii="Times New Roman" w:hAnsi="Times New Roman" w:cs="Times New Roman"/>
          <w:i/>
          <w:sz w:val="20"/>
          <w:szCs w:val="20"/>
          <w:lang w:val="en-US"/>
        </w:rPr>
        <w:t>RT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. The experimental data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are indicated by circles (black), the calculated pattern is the solid line (red), and the lower curve (green) is the weighted difference between the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 xml:space="preserve">observed and calculated patterns. Vertical ticks mark the position of the reflection for the </w:t>
      </w:r>
      <w:r>
        <w:rPr>
          <w:rFonts w:ascii="Times New Roman" w:hAnsi="Times New Roman" w:cs="Times New Roman"/>
          <w:sz w:val="20"/>
          <w:szCs w:val="20"/>
          <w:lang w:val="en-US"/>
        </w:rPr>
        <w:t>identified phases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0E27B00A" w14:textId="77777777" w:rsidR="00AC0F50" w:rsidRPr="00AC0F50" w:rsidRDefault="00AC0F50" w:rsidP="00AC0F5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Style w:val="Grigliatabella"/>
        <w:tblW w:w="96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20"/>
        <w:gridCol w:w="4820"/>
      </w:tblGrid>
      <w:tr w:rsidR="00AC0F50" w:rsidRPr="00AC0F50" w14:paraId="60061E4C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44EAFD9C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w:drawing>
                <wp:inline distT="0" distB="0" distL="0" distR="0" wp14:anchorId="00204B72" wp14:editId="0567FCF4">
                  <wp:extent cx="3058795" cy="1534795"/>
                  <wp:effectExtent l="0" t="0" r="0" b="0"/>
                  <wp:docPr id="4" name="Immagin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0" w:type="dxa"/>
            <w:vAlign w:val="center"/>
          </w:tcPr>
          <w:p w14:paraId="4B94D5A5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w:drawing>
                <wp:inline distT="0" distB="0" distL="0" distR="0" wp14:anchorId="20C6BDA3" wp14:editId="1B78D3F4">
                  <wp:extent cx="3058795" cy="1534795"/>
                  <wp:effectExtent l="0" t="0" r="0" b="0"/>
                  <wp:docPr id="5" name="Immagin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F50" w:rsidRPr="00AC0F50" w14:paraId="7A7AA9F9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38613DB8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a</w:t>
            </w:r>
          </w:p>
        </w:tc>
        <w:tc>
          <w:tcPr>
            <w:tcW w:w="4820" w:type="dxa"/>
            <w:vAlign w:val="center"/>
          </w:tcPr>
          <w:p w14:paraId="71608CFE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b</w:t>
            </w:r>
          </w:p>
        </w:tc>
      </w:tr>
      <w:tr w:rsidR="00AC0F50" w:rsidRPr="00AC0F50" w14:paraId="3DEEC669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3656B9AB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w:drawing>
                <wp:inline distT="0" distB="0" distL="0" distR="0" wp14:anchorId="435D24F4" wp14:editId="2EB61CBA">
                  <wp:extent cx="3058795" cy="1534795"/>
                  <wp:effectExtent l="0" t="0" r="0" b="0"/>
                  <wp:docPr id="6" name="Immagin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0" w:type="dxa"/>
            <w:vAlign w:val="center"/>
          </w:tcPr>
          <w:p w14:paraId="45FB0818" w14:textId="77777777" w:rsidR="00AC0F50" w:rsidRPr="00AC0F50" w:rsidRDefault="004C5B3C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w:drawing>
                <wp:inline distT="0" distB="0" distL="0" distR="0" wp14:anchorId="7F85CE65" wp14:editId="49ED467E">
                  <wp:extent cx="3058795" cy="1534795"/>
                  <wp:effectExtent l="0" t="0" r="0" b="0"/>
                  <wp:docPr id="7" name="Immagin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95" cy="1534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F50" w:rsidRPr="00AC0F50" w14:paraId="5C2BBC0D" w14:textId="77777777" w:rsidTr="00AC0F50">
        <w:trPr>
          <w:cantSplit/>
          <w:jc w:val="center"/>
        </w:trPr>
        <w:tc>
          <w:tcPr>
            <w:tcW w:w="4820" w:type="dxa"/>
            <w:vAlign w:val="center"/>
          </w:tcPr>
          <w:p w14:paraId="33B28549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c</w:t>
            </w:r>
          </w:p>
        </w:tc>
        <w:tc>
          <w:tcPr>
            <w:tcW w:w="4820" w:type="dxa"/>
            <w:vAlign w:val="center"/>
          </w:tcPr>
          <w:p w14:paraId="1559D049" w14:textId="77777777" w:rsidR="00AC0F50" w:rsidRPr="00AC0F50" w:rsidRDefault="00AC0F50" w:rsidP="00AC0F5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AC0F50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d</w:t>
            </w:r>
          </w:p>
        </w:tc>
      </w:tr>
    </w:tbl>
    <w:p w14:paraId="73715B53" w14:textId="3FDD056D" w:rsidR="00AC0F50" w:rsidRDefault="00AC0F50" w:rsidP="00AC0F5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C0F50">
        <w:rPr>
          <w:rFonts w:ascii="Times New Roman" w:hAnsi="Times New Roman" w:cs="Times New Roman"/>
          <w:b/>
          <w:sz w:val="20"/>
          <w:szCs w:val="20"/>
          <w:lang w:val="en-US"/>
        </w:rPr>
        <w:t xml:space="preserve">Figure </w:t>
      </w:r>
      <w:r w:rsidR="004C5B3C">
        <w:rPr>
          <w:rFonts w:ascii="Times New Roman" w:hAnsi="Times New Roman" w:cs="Times New Roman"/>
          <w:b/>
          <w:sz w:val="20"/>
          <w:szCs w:val="20"/>
          <w:lang w:val="en-US"/>
        </w:rPr>
        <w:t>S2</w:t>
      </w:r>
      <w:r w:rsidRPr="00AC0F50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 xml:space="preserve"> Rietveld refinement plot for the </w:t>
      </w:r>
      <w:r w:rsidR="00812C70" w:rsidRPr="00812C70">
        <w:rPr>
          <w:rFonts w:ascii="Times New Roman" w:hAnsi="Times New Roman" w:cs="Times New Roman"/>
          <w:i/>
          <w:iCs/>
          <w:sz w:val="20"/>
          <w:szCs w:val="20"/>
          <w:lang w:val="en-US"/>
        </w:rPr>
        <w:t>LEM</w:t>
      </w:r>
      <w:r w:rsidR="00812C70"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812C70" w:rsidRPr="00812C70">
        <w:rPr>
          <w:rFonts w:ascii="Times New Roman" w:hAnsi="Times New Roman" w:cs="Times New Roman"/>
          <w:i/>
          <w:iCs/>
          <w:sz w:val="20"/>
          <w:szCs w:val="20"/>
          <w:lang w:val="en-US"/>
        </w:rPr>
        <w:t>HEM</w:t>
      </w:r>
      <w:r w:rsidR="00812C70"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r w:rsidR="00812C70" w:rsidRPr="00812C70">
        <w:rPr>
          <w:rFonts w:ascii="Times New Roman" w:hAnsi="Times New Roman" w:cs="Times New Roman"/>
          <w:i/>
          <w:iCs/>
          <w:sz w:val="20"/>
          <w:szCs w:val="20"/>
          <w:lang w:val="en-US"/>
        </w:rPr>
        <w:t>MSG</w:t>
      </w:r>
      <w:r w:rsidR="00812C70" w:rsidRPr="00812C7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812C70">
        <w:rPr>
          <w:rFonts w:ascii="Times New Roman" w:hAnsi="Times New Roman" w:cs="Times New Roman"/>
          <w:sz w:val="20"/>
          <w:szCs w:val="20"/>
          <w:lang w:val="en-US"/>
        </w:rPr>
        <w:t>pellet samples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ollected at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0F50">
        <w:rPr>
          <w:rFonts w:ascii="Times New Roman" w:hAnsi="Times New Roman" w:cs="Times New Roman"/>
          <w:i/>
          <w:sz w:val="20"/>
          <w:szCs w:val="20"/>
          <w:lang w:val="en-US"/>
        </w:rPr>
        <w:t>RT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. The experimental data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are indicated by circles (black), the calculated pattern is the solid line (red), and the lower curve (green) is the weighted difference between the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 xml:space="preserve">observed and calculated patterns. Vertical ticks mark the position of the reflection for the </w:t>
      </w:r>
      <w:r>
        <w:rPr>
          <w:rFonts w:ascii="Times New Roman" w:hAnsi="Times New Roman" w:cs="Times New Roman"/>
          <w:sz w:val="20"/>
          <w:szCs w:val="20"/>
          <w:lang w:val="en-US"/>
        </w:rPr>
        <w:t>identified phases</w:t>
      </w:r>
      <w:r w:rsidRPr="00AC0F50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049F31CB" w14:textId="77777777" w:rsidR="009F4872" w:rsidRDefault="009F4872">
      <w:pPr>
        <w:spacing w:after="200" w:line="276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071E4E01" w14:textId="77777777" w:rsidR="00AC0F50" w:rsidRPr="00AC0F50" w:rsidRDefault="00AC0F50" w:rsidP="00EF0D44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C0F50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</w:t>
      </w:r>
    </w:p>
    <w:p w14:paraId="0FEAE362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81EC2">
        <w:rPr>
          <w:rFonts w:ascii="Times New Roman" w:hAnsi="Times New Roman" w:cs="Times New Roman"/>
          <w:lang w:val="en-GB"/>
        </w:rPr>
        <w:t xml:space="preserve">Antao, S. M., &amp; Hassan, I. (2009). </w:t>
      </w:r>
      <w:r w:rsidRPr="00AC0F50">
        <w:rPr>
          <w:rFonts w:ascii="Times New Roman" w:hAnsi="Times New Roman" w:cs="Times New Roman"/>
          <w:lang w:val="en-US"/>
        </w:rPr>
        <w:t>The orthorhombic structure of CaCO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>, SrCO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>, PbCO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 xml:space="preserve"> and BaCO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>: Linear structural trends. The Canadian Mineralogist, 47(5), 1245-1255.</w:t>
      </w:r>
    </w:p>
    <w:p w14:paraId="37DF422F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304C1">
        <w:rPr>
          <w:rFonts w:ascii="Times New Roman" w:hAnsi="Times New Roman" w:cs="Times New Roman"/>
          <w:lang w:val="en-US"/>
        </w:rPr>
        <w:t>https://doi.org/10.3749/canmin.47.5.1245</w:t>
      </w:r>
    </w:p>
    <w:p w14:paraId="53128261" w14:textId="77777777" w:rsidR="00AC0F50" w:rsidRPr="008F7A9E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48D702D9" w14:textId="77777777" w:rsidR="008F7A9E" w:rsidRPr="00D81EC2" w:rsidRDefault="008F7A9E" w:rsidP="008F7A9E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GB" w:eastAsia="it-IT"/>
        </w:rPr>
      </w:pPr>
      <w:proofErr w:type="spellStart"/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>Cheary</w:t>
      </w:r>
      <w:proofErr w:type="spellEnd"/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 xml:space="preserve">, R. W., &amp; Coelho, A. (1992). A fundamental parameters approach to X-ray line-profile fitting. </w:t>
      </w:r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>Journal of Applied Crystallography</w:t>
      </w:r>
      <w:r w:rsidRPr="00D81EC2">
        <w:rPr>
          <w:rFonts w:ascii="Times New Roman" w:eastAsia="Times New Roman" w:hAnsi="Times New Roman" w:cs="Times New Roman"/>
          <w:kern w:val="0"/>
          <w:lang w:val="en-GB" w:eastAsia="it-IT"/>
        </w:rPr>
        <w:t xml:space="preserve">, </w:t>
      </w:r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>25</w:t>
      </w:r>
      <w:r w:rsidRPr="00D81EC2">
        <w:rPr>
          <w:rFonts w:ascii="Times New Roman" w:eastAsia="Times New Roman" w:hAnsi="Times New Roman" w:cs="Times New Roman"/>
          <w:kern w:val="0"/>
          <w:lang w:val="en-GB" w:eastAsia="it-IT"/>
        </w:rPr>
        <w:t>(2), 109-121.</w:t>
      </w:r>
    </w:p>
    <w:p w14:paraId="59DE5755" w14:textId="77777777" w:rsidR="008F7A9E" w:rsidRPr="00B82B0A" w:rsidRDefault="008F7A9E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B82B0A">
        <w:rPr>
          <w:rFonts w:ascii="Times New Roman" w:hAnsi="Times New Roman" w:cs="Times New Roman"/>
          <w:lang w:val="en-US"/>
        </w:rPr>
        <w:t>https://doi.org/10.1107/S0021889891010804</w:t>
      </w:r>
    </w:p>
    <w:p w14:paraId="62486C05" w14:textId="77777777" w:rsidR="008F7A9E" w:rsidRPr="00B82B0A" w:rsidRDefault="008F7A9E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2822A654" w14:textId="77777777" w:rsidR="008F7A9E" w:rsidRPr="00D873AD" w:rsidRDefault="008F7A9E" w:rsidP="008F7A9E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GB" w:eastAsia="it-IT"/>
        </w:rPr>
      </w:pPr>
      <w:proofErr w:type="spellStart"/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>Cheary</w:t>
      </w:r>
      <w:proofErr w:type="spellEnd"/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 xml:space="preserve">, R. W., Coelho, A. A., &amp; Cline, J. P. (2004). Fundamental parameters line profile fitting in laboratory diffractometers. </w:t>
      </w:r>
      <w:r w:rsidRPr="00D873AD">
        <w:rPr>
          <w:rFonts w:ascii="Times New Roman" w:eastAsia="Times New Roman" w:hAnsi="Times New Roman" w:cs="Times New Roman"/>
          <w:iCs/>
          <w:kern w:val="0"/>
          <w:lang w:val="en-GB" w:eastAsia="it-IT"/>
        </w:rPr>
        <w:t>Journal of Research of the National Institute of Standards and Technology</w:t>
      </w:r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 xml:space="preserve">, </w:t>
      </w:r>
      <w:r w:rsidRPr="00D873AD">
        <w:rPr>
          <w:rFonts w:ascii="Times New Roman" w:eastAsia="Times New Roman" w:hAnsi="Times New Roman" w:cs="Times New Roman"/>
          <w:iCs/>
          <w:kern w:val="0"/>
          <w:lang w:val="en-GB" w:eastAsia="it-IT"/>
        </w:rPr>
        <w:t>109</w:t>
      </w:r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>(1), 1.</w:t>
      </w:r>
    </w:p>
    <w:p w14:paraId="12425831" w14:textId="77777777" w:rsidR="008F7A9E" w:rsidRPr="00D81EC2" w:rsidRDefault="008F7A9E" w:rsidP="00AC0F5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81EC2">
        <w:rPr>
          <w:rFonts w:ascii="Times New Roman" w:hAnsi="Times New Roman" w:cs="Times New Roman"/>
        </w:rPr>
        <w:t>https://doi.org/10.6028/jres.109.002</w:t>
      </w:r>
    </w:p>
    <w:p w14:paraId="4101652C" w14:textId="77777777" w:rsidR="008F7A9E" w:rsidRPr="00D81EC2" w:rsidRDefault="008F7A9E" w:rsidP="00AC0F5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FA20CAA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873AD">
        <w:rPr>
          <w:rFonts w:ascii="Times New Roman" w:hAnsi="Times New Roman" w:cs="Times New Roman"/>
        </w:rPr>
        <w:t xml:space="preserve">Coduri, M., Scavini, M., Allieta, M., Brunelli, M., &amp; Ferrero, C. (2013). </w:t>
      </w:r>
      <w:r w:rsidRPr="008F7A9E">
        <w:rPr>
          <w:rFonts w:ascii="Times New Roman" w:hAnsi="Times New Roman" w:cs="Times New Roman"/>
          <w:lang w:val="en-US"/>
        </w:rPr>
        <w:t>Defect structure of Y-doped ceria on</w:t>
      </w:r>
      <w:r w:rsidRPr="00AC0F50">
        <w:rPr>
          <w:rFonts w:ascii="Times New Roman" w:hAnsi="Times New Roman" w:cs="Times New Roman"/>
          <w:lang w:val="en-US"/>
        </w:rPr>
        <w:t xml:space="preserve"> different length scales. Chemistry of Materials, 25(21), 4278-4289.</w:t>
      </w:r>
    </w:p>
    <w:p w14:paraId="002CF3E2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304C1">
        <w:rPr>
          <w:rFonts w:ascii="Times New Roman" w:hAnsi="Times New Roman" w:cs="Times New Roman"/>
          <w:lang w:val="en-US"/>
        </w:rPr>
        <w:t>https://doi.org/10.1021/cm402359d</w:t>
      </w:r>
    </w:p>
    <w:p w14:paraId="4B99056E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7007C2E7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AC0F50">
        <w:rPr>
          <w:rFonts w:ascii="Times New Roman" w:hAnsi="Times New Roman" w:cs="Times New Roman"/>
          <w:lang w:val="en-US"/>
        </w:rPr>
        <w:t xml:space="preserve">Knight, K. S., &amp; </w:t>
      </w:r>
      <w:proofErr w:type="spellStart"/>
      <w:r w:rsidRPr="00AC0F50">
        <w:rPr>
          <w:rFonts w:ascii="Times New Roman" w:hAnsi="Times New Roman" w:cs="Times New Roman"/>
          <w:lang w:val="en-US"/>
        </w:rPr>
        <w:t>Bonanos</w:t>
      </w:r>
      <w:proofErr w:type="spellEnd"/>
      <w:r w:rsidRPr="00AC0F50">
        <w:rPr>
          <w:rFonts w:ascii="Times New Roman" w:hAnsi="Times New Roman" w:cs="Times New Roman"/>
          <w:lang w:val="en-US"/>
        </w:rPr>
        <w:t>, N. (1995). The crystal structures of some doped and undoped alkaline earth cerate perovskites. Materials Research Bulletin, 30(3), 347-356.</w:t>
      </w:r>
    </w:p>
    <w:p w14:paraId="695A3660" w14:textId="77777777" w:rsidR="00AC0F50" w:rsidRDefault="00D0581B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0581B">
        <w:rPr>
          <w:rFonts w:ascii="Times New Roman" w:hAnsi="Times New Roman" w:cs="Times New Roman"/>
          <w:lang w:val="en-US"/>
        </w:rPr>
        <w:t>https://doi.org/10.1016/0025-5408(95)00009-7</w:t>
      </w:r>
    </w:p>
    <w:p w14:paraId="1299C43A" w14:textId="77777777" w:rsidR="00D0581B" w:rsidRDefault="00D0581B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689E4601" w14:textId="77777777" w:rsidR="00D0581B" w:rsidRPr="00D0581B" w:rsidRDefault="00D0581B" w:rsidP="00D0581B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0581B">
        <w:rPr>
          <w:rFonts w:ascii="Times New Roman" w:hAnsi="Times New Roman" w:cs="Times New Roman"/>
          <w:lang w:val="en-US"/>
        </w:rPr>
        <w:t xml:space="preserve">Laue, Μ. V. (1926). VI. Lorentz-Faktor und </w:t>
      </w:r>
      <w:proofErr w:type="spellStart"/>
      <w:r w:rsidRPr="00D0581B">
        <w:rPr>
          <w:rFonts w:ascii="Times New Roman" w:hAnsi="Times New Roman" w:cs="Times New Roman"/>
          <w:lang w:val="en-US"/>
        </w:rPr>
        <w:t>Intensitätsverteilung</w:t>
      </w:r>
      <w:proofErr w:type="spellEnd"/>
      <w:r w:rsidRPr="00D0581B">
        <w:rPr>
          <w:rFonts w:ascii="Times New Roman" w:hAnsi="Times New Roman" w:cs="Times New Roman"/>
          <w:lang w:val="en-US"/>
        </w:rPr>
        <w:t xml:space="preserve"> in Debye-Scherrer-Ringen. </w:t>
      </w:r>
      <w:proofErr w:type="spellStart"/>
      <w:r w:rsidRPr="00D0581B">
        <w:rPr>
          <w:rFonts w:ascii="Times New Roman" w:hAnsi="Times New Roman" w:cs="Times New Roman"/>
          <w:lang w:val="en-US"/>
        </w:rPr>
        <w:t>Zeitschrift</w:t>
      </w:r>
      <w:proofErr w:type="spellEnd"/>
      <w:r w:rsidRPr="00D0581B">
        <w:rPr>
          <w:rFonts w:ascii="Times New Roman" w:hAnsi="Times New Roman" w:cs="Times New Roman"/>
          <w:lang w:val="en-US"/>
        </w:rPr>
        <w:t xml:space="preserve"> für </w:t>
      </w:r>
      <w:proofErr w:type="spellStart"/>
      <w:r w:rsidRPr="00D0581B">
        <w:rPr>
          <w:rFonts w:ascii="Times New Roman" w:hAnsi="Times New Roman" w:cs="Times New Roman"/>
          <w:lang w:val="en-US"/>
        </w:rPr>
        <w:t>Kristallographie</w:t>
      </w:r>
      <w:proofErr w:type="spellEnd"/>
      <w:r w:rsidRPr="00D0581B">
        <w:rPr>
          <w:rFonts w:ascii="Times New Roman" w:hAnsi="Times New Roman" w:cs="Times New Roman"/>
          <w:lang w:val="en-US"/>
        </w:rPr>
        <w:t>-Crystalline Materials, 64(1-6), 115-142.</w:t>
      </w:r>
    </w:p>
    <w:p w14:paraId="7B1B290D" w14:textId="77777777" w:rsidR="00D0581B" w:rsidRDefault="00D0581B" w:rsidP="00D0581B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0581B">
        <w:rPr>
          <w:rFonts w:ascii="Times New Roman" w:hAnsi="Times New Roman" w:cs="Times New Roman"/>
          <w:lang w:val="en-US"/>
        </w:rPr>
        <w:t>https://doi.org/10.1524/zkri.1926.64.1.115</w:t>
      </w:r>
    </w:p>
    <w:p w14:paraId="4DDBEF00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032630A8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AC0F50">
        <w:rPr>
          <w:rFonts w:ascii="Times New Roman" w:hAnsi="Times New Roman" w:cs="Times New Roman"/>
          <w:lang w:val="en-US"/>
        </w:rPr>
        <w:t>Pagnier</w:t>
      </w:r>
      <w:proofErr w:type="spellEnd"/>
      <w:r w:rsidRPr="00AC0F50">
        <w:rPr>
          <w:rFonts w:ascii="Times New Roman" w:hAnsi="Times New Roman" w:cs="Times New Roman"/>
          <w:lang w:val="en-US"/>
        </w:rPr>
        <w:t>, T., Charrier-</w:t>
      </w:r>
      <w:proofErr w:type="spellStart"/>
      <w:r w:rsidRPr="00AC0F50">
        <w:rPr>
          <w:rFonts w:ascii="Times New Roman" w:hAnsi="Times New Roman" w:cs="Times New Roman"/>
          <w:lang w:val="en-US"/>
        </w:rPr>
        <w:t>Cougoulic</w:t>
      </w:r>
      <w:proofErr w:type="spellEnd"/>
      <w:r w:rsidRPr="00AC0F50">
        <w:rPr>
          <w:rFonts w:ascii="Times New Roman" w:hAnsi="Times New Roman" w:cs="Times New Roman"/>
          <w:lang w:val="en-US"/>
        </w:rPr>
        <w:t xml:space="preserve">, I., Ritter, C., &amp; </w:t>
      </w:r>
      <w:proofErr w:type="spellStart"/>
      <w:r w:rsidRPr="00AC0F50">
        <w:rPr>
          <w:rFonts w:ascii="Times New Roman" w:hAnsi="Times New Roman" w:cs="Times New Roman"/>
          <w:lang w:val="en-US"/>
        </w:rPr>
        <w:t>Lucazeau</w:t>
      </w:r>
      <w:proofErr w:type="spellEnd"/>
      <w:r w:rsidRPr="00AC0F50">
        <w:rPr>
          <w:rFonts w:ascii="Times New Roman" w:hAnsi="Times New Roman" w:cs="Times New Roman"/>
          <w:lang w:val="en-US"/>
        </w:rPr>
        <w:t>, G. (2000). A neutron diffraction study of BaCe</w:t>
      </w:r>
      <w:r w:rsidRPr="00F304C1">
        <w:rPr>
          <w:rFonts w:ascii="Times New Roman" w:hAnsi="Times New Roman" w:cs="Times New Roman"/>
          <w:vertAlign w:val="subscript"/>
          <w:lang w:val="en-US"/>
        </w:rPr>
        <w:t>x</w:t>
      </w:r>
      <w:r w:rsidRPr="00AC0F50">
        <w:rPr>
          <w:rFonts w:ascii="Times New Roman" w:hAnsi="Times New Roman" w:cs="Times New Roman"/>
          <w:lang w:val="en-US"/>
        </w:rPr>
        <w:t>Zr</w:t>
      </w:r>
      <w:r w:rsidRPr="00F304C1">
        <w:rPr>
          <w:rFonts w:ascii="Times New Roman" w:hAnsi="Times New Roman" w:cs="Times New Roman"/>
          <w:vertAlign w:val="subscript"/>
          <w:lang w:val="en-US"/>
        </w:rPr>
        <w:t>1−x</w:t>
      </w:r>
      <w:r w:rsidRPr="00AC0F50">
        <w:rPr>
          <w:rFonts w:ascii="Times New Roman" w:hAnsi="Times New Roman" w:cs="Times New Roman"/>
          <w:lang w:val="en-US"/>
        </w:rPr>
        <w:t>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>. The European Physical Journal-Applied Physics, 9(1), 1-9.</w:t>
      </w:r>
    </w:p>
    <w:p w14:paraId="17C119CE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304C1">
        <w:rPr>
          <w:rFonts w:ascii="Times New Roman" w:hAnsi="Times New Roman" w:cs="Times New Roman"/>
          <w:lang w:val="en-US"/>
        </w:rPr>
        <w:t>https://doi.org/10.1051/epjap:2000192</w:t>
      </w:r>
    </w:p>
    <w:p w14:paraId="3461D779" w14:textId="77777777" w:rsidR="00AC0F50" w:rsidRPr="008F7A9E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3ADD2CC6" w14:textId="77777777" w:rsidR="008F7A9E" w:rsidRPr="00D81EC2" w:rsidRDefault="008F7A9E" w:rsidP="008F7A9E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GB" w:eastAsia="it-IT"/>
        </w:rPr>
      </w:pPr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 xml:space="preserve">Rietveld, H. M. (1967). Line profiles of neutron powder-diffraction peaks for structure refinement. </w:t>
      </w:r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 xml:space="preserve">Acta </w:t>
      </w:r>
      <w:proofErr w:type="spellStart"/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>Crystallographica</w:t>
      </w:r>
      <w:proofErr w:type="spellEnd"/>
      <w:r w:rsidRPr="00D81EC2">
        <w:rPr>
          <w:rFonts w:ascii="Times New Roman" w:eastAsia="Times New Roman" w:hAnsi="Times New Roman" w:cs="Times New Roman"/>
          <w:kern w:val="0"/>
          <w:lang w:val="en-GB" w:eastAsia="it-IT"/>
        </w:rPr>
        <w:t xml:space="preserve">, </w:t>
      </w:r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>22</w:t>
      </w:r>
      <w:r w:rsidRPr="00D81EC2">
        <w:rPr>
          <w:rFonts w:ascii="Times New Roman" w:eastAsia="Times New Roman" w:hAnsi="Times New Roman" w:cs="Times New Roman"/>
          <w:kern w:val="0"/>
          <w:lang w:val="en-GB" w:eastAsia="it-IT"/>
        </w:rPr>
        <w:t>(1), 151-152.</w:t>
      </w:r>
    </w:p>
    <w:p w14:paraId="7F8A0929" w14:textId="77777777" w:rsidR="008F7A9E" w:rsidRPr="00B82B0A" w:rsidRDefault="008F7A9E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B82B0A">
        <w:rPr>
          <w:rFonts w:ascii="Times New Roman" w:hAnsi="Times New Roman" w:cs="Times New Roman"/>
          <w:lang w:val="en-US"/>
        </w:rPr>
        <w:t>https://doi.org/10.1107/S0365110X67000234</w:t>
      </w:r>
    </w:p>
    <w:p w14:paraId="3CF2D8B6" w14:textId="77777777" w:rsidR="008F7A9E" w:rsidRPr="00B82B0A" w:rsidRDefault="008F7A9E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27F3057A" w14:textId="77777777" w:rsidR="008F7A9E" w:rsidRPr="00D81EC2" w:rsidRDefault="008F7A9E" w:rsidP="008F7A9E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GB" w:eastAsia="it-IT"/>
        </w:rPr>
      </w:pPr>
      <w:r w:rsidRPr="00D873AD">
        <w:rPr>
          <w:rFonts w:ascii="Times New Roman" w:eastAsia="Times New Roman" w:hAnsi="Times New Roman" w:cs="Times New Roman"/>
          <w:kern w:val="0"/>
          <w:lang w:val="en-GB" w:eastAsia="it-IT"/>
        </w:rPr>
        <w:t xml:space="preserve">Rietveld, H. M. (1969). A profile refinement method for nuclear and magnetic structures. </w:t>
      </w:r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>Journal of applied Crystallography</w:t>
      </w:r>
      <w:r w:rsidRPr="00D81EC2">
        <w:rPr>
          <w:rFonts w:ascii="Times New Roman" w:eastAsia="Times New Roman" w:hAnsi="Times New Roman" w:cs="Times New Roman"/>
          <w:kern w:val="0"/>
          <w:lang w:val="en-GB" w:eastAsia="it-IT"/>
        </w:rPr>
        <w:t xml:space="preserve">, </w:t>
      </w:r>
      <w:r w:rsidRPr="00D81EC2">
        <w:rPr>
          <w:rFonts w:ascii="Times New Roman" w:eastAsia="Times New Roman" w:hAnsi="Times New Roman" w:cs="Times New Roman"/>
          <w:iCs/>
          <w:kern w:val="0"/>
          <w:lang w:val="en-GB" w:eastAsia="it-IT"/>
        </w:rPr>
        <w:t>2</w:t>
      </w:r>
      <w:r w:rsidRPr="00D81EC2">
        <w:rPr>
          <w:rFonts w:ascii="Times New Roman" w:eastAsia="Times New Roman" w:hAnsi="Times New Roman" w:cs="Times New Roman"/>
          <w:kern w:val="0"/>
          <w:lang w:val="en-GB" w:eastAsia="it-IT"/>
        </w:rPr>
        <w:t>(2), 65-71.</w:t>
      </w:r>
    </w:p>
    <w:p w14:paraId="384E53DF" w14:textId="77777777" w:rsidR="008F7A9E" w:rsidRPr="00B82B0A" w:rsidRDefault="008F7A9E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B82B0A">
        <w:rPr>
          <w:rFonts w:ascii="Times New Roman" w:hAnsi="Times New Roman" w:cs="Times New Roman"/>
          <w:lang w:val="en-US"/>
        </w:rPr>
        <w:t>https://doi.org/10.1107/S0021889869006558</w:t>
      </w:r>
    </w:p>
    <w:p w14:paraId="0FB78278" w14:textId="77777777" w:rsidR="008F7A9E" w:rsidRPr="008F7A9E" w:rsidRDefault="008F7A9E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22C9D782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D81EC2">
        <w:rPr>
          <w:rFonts w:ascii="Times New Roman" w:hAnsi="Times New Roman" w:cs="Times New Roman"/>
          <w:lang w:val="en-GB"/>
        </w:rPr>
        <w:t xml:space="preserve">Saiki, A., Ishizawa, N., Mizutani, N., &amp; Kato, M. (1985). </w:t>
      </w:r>
      <w:r w:rsidRPr="00AC0F50">
        <w:rPr>
          <w:rFonts w:ascii="Times New Roman" w:hAnsi="Times New Roman" w:cs="Times New Roman"/>
          <w:lang w:val="en-US"/>
        </w:rPr>
        <w:t xml:space="preserve">Structural </w:t>
      </w:r>
      <w:r w:rsidR="00F304C1" w:rsidRPr="00AC0F50">
        <w:rPr>
          <w:rFonts w:ascii="Times New Roman" w:hAnsi="Times New Roman" w:cs="Times New Roman"/>
          <w:lang w:val="en-US"/>
        </w:rPr>
        <w:t xml:space="preserve">change of </w:t>
      </w:r>
      <w:r w:rsidRPr="00AC0F50">
        <w:rPr>
          <w:rFonts w:ascii="Times New Roman" w:hAnsi="Times New Roman" w:cs="Times New Roman"/>
          <w:lang w:val="en-US"/>
        </w:rPr>
        <w:t>C-</w:t>
      </w:r>
      <w:r w:rsidR="00F304C1" w:rsidRPr="00AC0F50">
        <w:rPr>
          <w:rFonts w:ascii="Times New Roman" w:hAnsi="Times New Roman" w:cs="Times New Roman"/>
          <w:lang w:val="en-US"/>
        </w:rPr>
        <w:t xml:space="preserve">rare earth </w:t>
      </w:r>
      <w:proofErr w:type="spellStart"/>
      <w:r w:rsidR="00F304C1" w:rsidRPr="00AC0F50">
        <w:rPr>
          <w:rFonts w:ascii="Times New Roman" w:hAnsi="Times New Roman" w:cs="Times New Roman"/>
          <w:lang w:val="en-US"/>
        </w:rPr>
        <w:t>sesquioxides</w:t>
      </w:r>
      <w:proofErr w:type="spellEnd"/>
      <w:r w:rsidR="00F304C1" w:rsidRPr="00AC0F50">
        <w:rPr>
          <w:rFonts w:ascii="Times New Roman" w:hAnsi="Times New Roman" w:cs="Times New Roman"/>
          <w:lang w:val="en-US"/>
        </w:rPr>
        <w:t xml:space="preserve"> </w:t>
      </w:r>
      <w:r w:rsidRPr="00AC0F50">
        <w:rPr>
          <w:rFonts w:ascii="Times New Roman" w:hAnsi="Times New Roman" w:cs="Times New Roman"/>
          <w:lang w:val="en-US"/>
        </w:rPr>
        <w:t>Yb</w:t>
      </w:r>
      <w:r w:rsidRPr="00F304C1">
        <w:rPr>
          <w:rFonts w:ascii="Times New Roman" w:hAnsi="Times New Roman" w:cs="Times New Roman"/>
          <w:vertAlign w:val="subscript"/>
          <w:lang w:val="en-US"/>
        </w:rPr>
        <w:t>2</w:t>
      </w:r>
      <w:r w:rsidRPr="00AC0F50">
        <w:rPr>
          <w:rFonts w:ascii="Times New Roman" w:hAnsi="Times New Roman" w:cs="Times New Roman"/>
          <w:lang w:val="en-US"/>
        </w:rPr>
        <w:t>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 xml:space="preserve"> and Er</w:t>
      </w:r>
      <w:r w:rsidRPr="00F304C1">
        <w:rPr>
          <w:rFonts w:ascii="Times New Roman" w:hAnsi="Times New Roman" w:cs="Times New Roman"/>
          <w:vertAlign w:val="subscript"/>
          <w:lang w:val="en-US"/>
        </w:rPr>
        <w:t>2</w:t>
      </w:r>
      <w:r w:rsidRPr="00AC0F50">
        <w:rPr>
          <w:rFonts w:ascii="Times New Roman" w:hAnsi="Times New Roman" w:cs="Times New Roman"/>
          <w:lang w:val="en-US"/>
        </w:rPr>
        <w:t>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 xml:space="preserve"> as a </w:t>
      </w:r>
      <w:r w:rsidR="00F304C1" w:rsidRPr="00AC0F50">
        <w:rPr>
          <w:rFonts w:ascii="Times New Roman" w:hAnsi="Times New Roman" w:cs="Times New Roman"/>
          <w:lang w:val="en-US"/>
        </w:rPr>
        <w:t>function of temperature</w:t>
      </w:r>
      <w:r w:rsidRPr="00AC0F50">
        <w:rPr>
          <w:rFonts w:ascii="Times New Roman" w:hAnsi="Times New Roman" w:cs="Times New Roman"/>
          <w:lang w:val="en-US"/>
        </w:rPr>
        <w:t>. Journal of the Ceramic Society of Japan, 93(10), 649-654.</w:t>
      </w:r>
    </w:p>
    <w:p w14:paraId="0B3A307A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304C1">
        <w:rPr>
          <w:rFonts w:ascii="Times New Roman" w:hAnsi="Times New Roman" w:cs="Times New Roman"/>
          <w:lang w:val="en-US"/>
        </w:rPr>
        <w:t>https://doi.org/10.2109/jcersj1950.93.1082_649</w:t>
      </w:r>
    </w:p>
    <w:p w14:paraId="1FC39945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1D44C414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AC0F50">
        <w:rPr>
          <w:rFonts w:ascii="Times New Roman" w:hAnsi="Times New Roman" w:cs="Times New Roman"/>
          <w:lang w:val="en-US"/>
        </w:rPr>
        <w:t>Szymanik, B., Buckley, R. G., Trodahl, H. J., &amp; Davis, R. L. (1998). Structure and decomposition of ceramic Ba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Pr="00AC0F50">
        <w:rPr>
          <w:rFonts w:ascii="Times New Roman" w:hAnsi="Times New Roman" w:cs="Times New Roman"/>
          <w:lang w:val="en-US"/>
        </w:rPr>
        <w:t>Y</w:t>
      </w:r>
      <w:r w:rsidRPr="00F304C1">
        <w:rPr>
          <w:rFonts w:ascii="Times New Roman" w:hAnsi="Times New Roman" w:cs="Times New Roman"/>
          <w:vertAlign w:val="subscript"/>
          <w:lang w:val="en-US"/>
        </w:rPr>
        <w:t>4</w:t>
      </w:r>
      <w:r w:rsidRPr="00AC0F50">
        <w:rPr>
          <w:rFonts w:ascii="Times New Roman" w:hAnsi="Times New Roman" w:cs="Times New Roman"/>
          <w:lang w:val="en-US"/>
        </w:rPr>
        <w:t>O</w:t>
      </w:r>
      <w:r w:rsidRPr="00F304C1">
        <w:rPr>
          <w:rFonts w:ascii="Times New Roman" w:hAnsi="Times New Roman" w:cs="Times New Roman"/>
          <w:vertAlign w:val="subscript"/>
          <w:lang w:val="en-US"/>
        </w:rPr>
        <w:t>9</w:t>
      </w:r>
      <w:r w:rsidRPr="00AC0F50">
        <w:rPr>
          <w:rFonts w:ascii="Times New Roman" w:hAnsi="Times New Roman" w:cs="Times New Roman"/>
          <w:lang w:val="en-US"/>
        </w:rPr>
        <w:t xml:space="preserve">. Solid state </w:t>
      </w:r>
      <w:proofErr w:type="spellStart"/>
      <w:r w:rsidRPr="00AC0F50">
        <w:rPr>
          <w:rFonts w:ascii="Times New Roman" w:hAnsi="Times New Roman" w:cs="Times New Roman"/>
          <w:lang w:val="en-US"/>
        </w:rPr>
        <w:t>ionics</w:t>
      </w:r>
      <w:proofErr w:type="spellEnd"/>
      <w:r w:rsidRPr="00AC0F50">
        <w:rPr>
          <w:rFonts w:ascii="Times New Roman" w:hAnsi="Times New Roman" w:cs="Times New Roman"/>
          <w:lang w:val="en-US"/>
        </w:rPr>
        <w:t>, 109(3-4), 223-228.</w:t>
      </w:r>
    </w:p>
    <w:p w14:paraId="5B0CF93C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304C1">
        <w:rPr>
          <w:rFonts w:ascii="Times New Roman" w:hAnsi="Times New Roman" w:cs="Times New Roman"/>
          <w:lang w:val="en-US"/>
        </w:rPr>
        <w:t>https://doi.org/10.1016/S0167-2738(98)00087-3</w:t>
      </w:r>
    </w:p>
    <w:p w14:paraId="0562CB0E" w14:textId="77777777" w:rsid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12169575" w14:textId="77777777" w:rsidR="00AC0F50" w:rsidRPr="00AC0F50" w:rsidRDefault="00AC0F50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AC0F50">
        <w:rPr>
          <w:rFonts w:ascii="Times New Roman" w:hAnsi="Times New Roman" w:cs="Times New Roman"/>
          <w:lang w:val="en-US"/>
        </w:rPr>
        <w:t>Takeuchi, K., Loong, C. K., Richardson Jr, J. W., Guan, J., Dorris, S. E., &amp; Balachandran, U. (2000). The crystal structures and phase transitions in Y-doped BaCeO</w:t>
      </w:r>
      <w:r w:rsidRPr="00F304C1">
        <w:rPr>
          <w:rFonts w:ascii="Times New Roman" w:hAnsi="Times New Roman" w:cs="Times New Roman"/>
          <w:vertAlign w:val="subscript"/>
          <w:lang w:val="en-US"/>
        </w:rPr>
        <w:t>3</w:t>
      </w:r>
      <w:r w:rsidR="00F304C1">
        <w:rPr>
          <w:rFonts w:ascii="Times New Roman" w:hAnsi="Times New Roman" w:cs="Times New Roman"/>
          <w:lang w:val="en-US"/>
        </w:rPr>
        <w:t>: T</w:t>
      </w:r>
      <w:r w:rsidRPr="00AC0F50">
        <w:rPr>
          <w:rFonts w:ascii="Times New Roman" w:hAnsi="Times New Roman" w:cs="Times New Roman"/>
          <w:lang w:val="en-US"/>
        </w:rPr>
        <w:t>heir dependence on Y concentration and hydrogen doping. Solid State Ionics, 138(1-2), 63-77.</w:t>
      </w:r>
    </w:p>
    <w:p w14:paraId="7C768E85" w14:textId="77777777" w:rsidR="00AC0F50" w:rsidRDefault="00BE567F" w:rsidP="00AC0F5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BE567F">
        <w:rPr>
          <w:rFonts w:ascii="Times New Roman" w:hAnsi="Times New Roman" w:cs="Times New Roman"/>
          <w:lang w:val="en-US"/>
        </w:rPr>
        <w:t>https://doi.org/10.1016/S0167-2738(00)00771-2</w:t>
      </w:r>
    </w:p>
    <w:sectPr w:rsidR="00AC0F50" w:rsidSect="009327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D0E"/>
    <w:rsid w:val="00103162"/>
    <w:rsid w:val="00126105"/>
    <w:rsid w:val="001265CF"/>
    <w:rsid w:val="00320899"/>
    <w:rsid w:val="003637CC"/>
    <w:rsid w:val="0036581E"/>
    <w:rsid w:val="003C6930"/>
    <w:rsid w:val="003F186A"/>
    <w:rsid w:val="00417981"/>
    <w:rsid w:val="00432866"/>
    <w:rsid w:val="00467ECA"/>
    <w:rsid w:val="004C5B3C"/>
    <w:rsid w:val="00501BF8"/>
    <w:rsid w:val="00512654"/>
    <w:rsid w:val="005E2541"/>
    <w:rsid w:val="006075E6"/>
    <w:rsid w:val="006224B5"/>
    <w:rsid w:val="006A1639"/>
    <w:rsid w:val="006C7FDA"/>
    <w:rsid w:val="00741D0E"/>
    <w:rsid w:val="00765E5D"/>
    <w:rsid w:val="00794477"/>
    <w:rsid w:val="007F4FC7"/>
    <w:rsid w:val="00812C70"/>
    <w:rsid w:val="00863BCC"/>
    <w:rsid w:val="00892F4A"/>
    <w:rsid w:val="008E35F0"/>
    <w:rsid w:val="008F7A9E"/>
    <w:rsid w:val="0093279B"/>
    <w:rsid w:val="00940A41"/>
    <w:rsid w:val="00957A5B"/>
    <w:rsid w:val="00995845"/>
    <w:rsid w:val="009B0890"/>
    <w:rsid w:val="009F4872"/>
    <w:rsid w:val="00A6018E"/>
    <w:rsid w:val="00A7237E"/>
    <w:rsid w:val="00A941E2"/>
    <w:rsid w:val="00AC0F50"/>
    <w:rsid w:val="00B27A27"/>
    <w:rsid w:val="00B54768"/>
    <w:rsid w:val="00B82B0A"/>
    <w:rsid w:val="00BB4E42"/>
    <w:rsid w:val="00BE567F"/>
    <w:rsid w:val="00C175B3"/>
    <w:rsid w:val="00CB266D"/>
    <w:rsid w:val="00D0581B"/>
    <w:rsid w:val="00D81EC2"/>
    <w:rsid w:val="00D873AD"/>
    <w:rsid w:val="00DB27DD"/>
    <w:rsid w:val="00DB633B"/>
    <w:rsid w:val="00E04D35"/>
    <w:rsid w:val="00E13BFE"/>
    <w:rsid w:val="00EC3CA1"/>
    <w:rsid w:val="00EF0D44"/>
    <w:rsid w:val="00F304C1"/>
    <w:rsid w:val="00F45246"/>
    <w:rsid w:val="00F477E8"/>
    <w:rsid w:val="00F66158"/>
    <w:rsid w:val="00FC6B08"/>
    <w:rsid w:val="00FD4158"/>
    <w:rsid w:val="07BE4B18"/>
    <w:rsid w:val="241FBC55"/>
    <w:rsid w:val="5BE9A66A"/>
    <w:rsid w:val="75E3E978"/>
    <w:rsid w:val="7AE573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8C43476"/>
  <w15:docId w15:val="{A133ED6B-5AD0-4E22-A067-9BF5630BA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1D0E"/>
    <w:pPr>
      <w:spacing w:after="160" w:line="259" w:lineRule="auto"/>
    </w:pPr>
    <w:rPr>
      <w:kern w:val="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AC0F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C0F50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41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4158"/>
    <w:rPr>
      <w:rFonts w:ascii="Tahoma" w:hAnsi="Tahoma" w:cs="Tahoma"/>
      <w:kern w:val="2"/>
      <w:sz w:val="16"/>
      <w:szCs w:val="16"/>
    </w:rPr>
  </w:style>
  <w:style w:type="paragraph" w:styleId="Revisione">
    <w:name w:val="Revision"/>
    <w:hidden/>
    <w:uiPriority w:val="99"/>
    <w:semiHidden/>
    <w:rsid w:val="004C5B3C"/>
    <w:pPr>
      <w:spacing w:after="0" w:line="240" w:lineRule="auto"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95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67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3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3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4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45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8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53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6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59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60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5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massimo.viviani@cnr.it" TargetMode="External"/><Relationship Id="rId11" Type="http://schemas.openxmlformats.org/officeDocument/2006/relationships/image" Target="media/image5.png"/><Relationship Id="rId5" Type="http://schemas.openxmlformats.org/officeDocument/2006/relationships/hyperlink" Target="mailto:angela.gondolini@cnr.it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640C7E-213F-4D0D-B45B-21BD41ACF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988</Words>
  <Characters>5633</Characters>
  <Application>Microsoft Office Word</Application>
  <DocSecurity>0</DocSecurity>
  <Lines>46</Lines>
  <Paragraphs>13</Paragraphs>
  <ScaleCrop>false</ScaleCrop>
  <Company/>
  <LinksUpToDate>false</LinksUpToDate>
  <CharactersWithSpaces>6608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MASSIMO VIVIANI</cp:lastModifiedBy>
  <cp:revision>3</cp:revision>
  <dcterms:created xsi:type="dcterms:W3CDTF">2025-11-02T10:21:00Z</dcterms:created>
  <dcterms:modified xsi:type="dcterms:W3CDTF">2025-11-04T09:15:00Z</dcterms:modified>
</cp:coreProperties>
</file>